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FBPÇ1.</w:t>
      </w:r>
      <w:r w:rsidRPr="00930055">
        <w:rPr>
          <w:rFonts w:ascii="Times New Roman" w:hAnsi="Times New Roman" w:cs="Times New Roman"/>
          <w:sz w:val="24"/>
          <w:szCs w:val="24"/>
        </w:rPr>
        <w:t xml:space="preserve"> Sistematik ve kavramsal düşünme yet</w:t>
      </w:r>
      <w:r>
        <w:rPr>
          <w:rFonts w:ascii="Times New Roman" w:hAnsi="Times New Roman" w:cs="Times New Roman"/>
          <w:sz w:val="24"/>
          <w:szCs w:val="24"/>
        </w:rPr>
        <w:t>enek ve kapasitesini geliştirir.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FBPÇ2</w:t>
      </w:r>
      <w:r w:rsidRPr="009300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Mesleki terminolojiyi bilir</w:t>
      </w:r>
      <w:r w:rsidRPr="00930055">
        <w:rPr>
          <w:rFonts w:ascii="Times New Roman" w:hAnsi="Times New Roman" w:cs="Times New Roman"/>
          <w:sz w:val="24"/>
          <w:szCs w:val="24"/>
        </w:rPr>
        <w:t>.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FBPÇ3.</w:t>
      </w:r>
      <w:r w:rsidRPr="00930055">
        <w:rPr>
          <w:rFonts w:ascii="Times New Roman" w:hAnsi="Times New Roman" w:cs="Times New Roman"/>
          <w:sz w:val="24"/>
          <w:szCs w:val="24"/>
        </w:rPr>
        <w:t xml:space="preserve"> Felsefe tarihini bilir.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FBPÇ4.</w:t>
      </w:r>
      <w:r w:rsidRPr="00930055">
        <w:rPr>
          <w:rFonts w:ascii="Times New Roman" w:hAnsi="Times New Roman" w:cs="Times New Roman"/>
          <w:sz w:val="24"/>
          <w:szCs w:val="24"/>
        </w:rPr>
        <w:t xml:space="preserve"> Felsefeye yakın disiplinler hakkında yeterli düzeyde bilgiye sahip olur.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88B7DB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 xml:space="preserve">FBPÇ5. </w:t>
      </w:r>
      <w:r w:rsidRPr="00930055">
        <w:rPr>
          <w:rFonts w:ascii="Times New Roman" w:hAnsi="Times New Roman" w:cs="Times New Roman"/>
          <w:sz w:val="24"/>
          <w:szCs w:val="24"/>
        </w:rPr>
        <w:t>Türk-İslam düşünce tarihini bilir.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FBPÇ6.</w:t>
      </w:r>
      <w:r w:rsidRPr="00930055">
        <w:rPr>
          <w:rFonts w:ascii="Times New Roman" w:hAnsi="Times New Roman" w:cs="Times New Roman"/>
          <w:sz w:val="24"/>
          <w:szCs w:val="24"/>
        </w:rPr>
        <w:t xml:space="preserve"> Osmanlıca metin ve kaynakları okuyup anlar.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88B7DB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FBPÇ7.</w:t>
      </w:r>
      <w:r w:rsidRPr="00930055">
        <w:rPr>
          <w:rFonts w:ascii="Times New Roman" w:hAnsi="Times New Roman" w:cs="Times New Roman"/>
          <w:sz w:val="24"/>
          <w:szCs w:val="24"/>
        </w:rPr>
        <w:t xml:space="preserve"> Felsefe ile ilgili bilgiye nasıl ulaşılacağını öğrenir.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FBPÇ8.</w:t>
      </w:r>
      <w:r w:rsidRPr="00930055">
        <w:rPr>
          <w:rFonts w:ascii="Times New Roman" w:hAnsi="Times New Roman" w:cs="Times New Roman"/>
          <w:sz w:val="24"/>
          <w:szCs w:val="24"/>
        </w:rPr>
        <w:t xml:space="preserve"> </w:t>
      </w:r>
      <w:r w:rsidRPr="0093005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Felsefi araştırma yöntem ve tekniğini kullanır</w:t>
      </w:r>
      <w:r w:rsidRPr="00930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FBPÇ9.</w:t>
      </w:r>
      <w:r w:rsidRPr="00930055">
        <w:rPr>
          <w:rFonts w:ascii="Times New Roman" w:hAnsi="Times New Roman" w:cs="Times New Roman"/>
          <w:sz w:val="24"/>
          <w:szCs w:val="24"/>
        </w:rPr>
        <w:t xml:space="preserve"> Çağdaş dünyanın mevcut sorunlarını felsefi olarak inceler.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88B7DB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FBPÇ10.</w:t>
      </w:r>
      <w:r w:rsidRPr="00930055">
        <w:rPr>
          <w:rFonts w:ascii="Times New Roman" w:hAnsi="Times New Roman" w:cs="Times New Roman"/>
          <w:sz w:val="24"/>
          <w:szCs w:val="24"/>
        </w:rPr>
        <w:t xml:space="preserve"> Analitik ve sentetik düşünme, okuma, yazma ve öğretme yetkinliğini kazanır.</w:t>
      </w:r>
    </w:p>
    <w:p w:rsidR="008B31B5" w:rsidRPr="0093005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FBPÇ11.</w:t>
      </w:r>
      <w:r w:rsidRPr="00930055">
        <w:rPr>
          <w:rFonts w:ascii="Times New Roman" w:hAnsi="Times New Roman" w:cs="Times New Roman"/>
          <w:sz w:val="24"/>
          <w:szCs w:val="24"/>
        </w:rPr>
        <w:t xml:space="preserve"> Yaşam-boyu öğrenmenin önemini/anlamını kavrar. </w:t>
      </w:r>
    </w:p>
    <w:p w:rsidR="008B31B5" w:rsidRDefault="008B31B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55">
        <w:rPr>
          <w:rFonts w:ascii="Times New Roman" w:hAnsi="Times New Roman" w:cs="Times New Roman"/>
          <w:b/>
          <w:sz w:val="24"/>
          <w:szCs w:val="24"/>
        </w:rPr>
        <w:t>FBPÇ12.</w:t>
      </w:r>
      <w:r w:rsidRPr="00930055">
        <w:rPr>
          <w:rFonts w:ascii="Times New Roman" w:hAnsi="Times New Roman" w:cs="Times New Roman"/>
          <w:sz w:val="24"/>
          <w:szCs w:val="24"/>
        </w:rPr>
        <w:t xml:space="preserve"> Mesleğin gerektirdiği etik sorumluluğu taşır.</w:t>
      </w:r>
    </w:p>
    <w:p w:rsidR="003770E5" w:rsidRDefault="003770E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0E5" w:rsidRPr="00BA6BAB" w:rsidRDefault="003770E5" w:rsidP="003770E5">
      <w:pPr>
        <w:pStyle w:val="Balk3"/>
        <w:ind w:left="720"/>
        <w:rPr>
          <w:rFonts w:eastAsia="Times New Roman"/>
        </w:rPr>
      </w:pPr>
      <w:bookmarkStart w:id="0" w:name="_Toc30601933"/>
      <w:bookmarkStart w:id="1" w:name="_GoBack"/>
      <w:bookmarkEnd w:id="1"/>
      <w:r w:rsidRPr="00BA6BAB">
        <w:t>Felsefe Bölümü Program Çıktıları İle Program Öğretim Amaçları Arasındaki İlişki</w:t>
      </w:r>
      <w:bookmarkEnd w:id="0"/>
    </w:p>
    <w:p w:rsidR="003770E5" w:rsidRPr="00BA6BAB" w:rsidRDefault="003770E5" w:rsidP="003770E5">
      <w:pPr>
        <w:rPr>
          <w:szCs w:val="24"/>
        </w:rPr>
      </w:pPr>
      <w:r w:rsidRPr="00BA6BAB">
        <w:rPr>
          <w:szCs w:val="24"/>
        </w:rPr>
        <w:t>Tablo 3.2 Program öğretim amaçları ile program çıktıları arasındaki ilişki matrisi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155"/>
        <w:gridCol w:w="1155"/>
        <w:gridCol w:w="1135"/>
        <w:gridCol w:w="1155"/>
        <w:gridCol w:w="1155"/>
        <w:gridCol w:w="1092"/>
        <w:gridCol w:w="1093"/>
      </w:tblGrid>
      <w:tr w:rsidR="003770E5" w:rsidRPr="00BA6BAB" w:rsidTr="00114FA4">
        <w:trPr>
          <w:trHeight w:val="311"/>
        </w:trPr>
        <w:tc>
          <w:tcPr>
            <w:tcW w:w="614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PÖA1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PÖA2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PÖA3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PÖA4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PÖA5</w:t>
            </w:r>
          </w:p>
        </w:tc>
        <w:tc>
          <w:tcPr>
            <w:tcW w:w="603" w:type="pct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PÖA6</w:t>
            </w:r>
          </w:p>
        </w:tc>
        <w:tc>
          <w:tcPr>
            <w:tcW w:w="604" w:type="pct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PÖA7</w:t>
            </w:r>
          </w:p>
        </w:tc>
      </w:tr>
      <w:tr w:rsidR="003770E5" w:rsidRPr="00BA6BAB" w:rsidTr="00114FA4">
        <w:trPr>
          <w:trHeight w:val="302"/>
        </w:trPr>
        <w:tc>
          <w:tcPr>
            <w:tcW w:w="614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3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04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3770E5" w:rsidRPr="00BA6BAB" w:rsidTr="00114FA4">
        <w:trPr>
          <w:trHeight w:val="292"/>
        </w:trPr>
        <w:tc>
          <w:tcPr>
            <w:tcW w:w="614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3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4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3770E5" w:rsidRPr="00BA6BAB" w:rsidTr="00114FA4">
        <w:trPr>
          <w:trHeight w:val="292"/>
        </w:trPr>
        <w:tc>
          <w:tcPr>
            <w:tcW w:w="614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3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4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3770E5" w:rsidRPr="00BA6BAB" w:rsidTr="00114FA4">
        <w:trPr>
          <w:trHeight w:val="292"/>
        </w:trPr>
        <w:tc>
          <w:tcPr>
            <w:tcW w:w="614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3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04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</w:tr>
      <w:tr w:rsidR="003770E5" w:rsidRPr="00BA6BAB" w:rsidTr="00114FA4">
        <w:trPr>
          <w:trHeight w:val="292"/>
        </w:trPr>
        <w:tc>
          <w:tcPr>
            <w:tcW w:w="614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PÇ5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 xml:space="preserve">        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3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4" w:type="pct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3770E5" w:rsidRPr="00BA6BAB" w:rsidTr="00114FA4">
        <w:trPr>
          <w:trHeight w:val="292"/>
        </w:trPr>
        <w:tc>
          <w:tcPr>
            <w:tcW w:w="614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PÇ6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</w:p>
        </w:tc>
        <w:tc>
          <w:tcPr>
            <w:tcW w:w="603" w:type="pct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</w:p>
        </w:tc>
        <w:tc>
          <w:tcPr>
            <w:tcW w:w="604" w:type="pct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</w:p>
        </w:tc>
      </w:tr>
      <w:tr w:rsidR="003770E5" w:rsidRPr="00BA6BAB" w:rsidTr="00114FA4">
        <w:trPr>
          <w:trHeight w:val="292"/>
        </w:trPr>
        <w:tc>
          <w:tcPr>
            <w:tcW w:w="614" w:type="pct"/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PÇ7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Wingdings"/>
                <w:sz w:val="22"/>
                <w:szCs w:val="24"/>
              </w:rPr>
              <w:t xml:space="preserve">        </w:t>
            </w: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 xml:space="preserve">        √</w:t>
            </w:r>
          </w:p>
        </w:tc>
        <w:tc>
          <w:tcPr>
            <w:tcW w:w="603" w:type="pct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 xml:space="preserve">       √</w:t>
            </w:r>
          </w:p>
        </w:tc>
        <w:tc>
          <w:tcPr>
            <w:tcW w:w="604" w:type="pct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 xml:space="preserve">       √</w:t>
            </w:r>
          </w:p>
        </w:tc>
      </w:tr>
      <w:tr w:rsidR="003770E5" w:rsidRPr="00BA6BAB" w:rsidTr="00114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 8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rFonts w:eastAsia="Wingdings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</w:tr>
      <w:tr w:rsidR="003770E5" w:rsidRPr="00BA6BAB" w:rsidTr="00114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 9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3770E5" w:rsidRPr="00BA6BAB" w:rsidTr="00114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 10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</w:tr>
      <w:tr w:rsidR="003770E5" w:rsidRPr="00BA6BAB" w:rsidTr="00114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 11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rFonts w:eastAsia="Times New Roman"/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</w:tr>
      <w:tr w:rsidR="003770E5" w:rsidRPr="00BA6BAB" w:rsidTr="00114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sz w:val="22"/>
                <w:szCs w:val="24"/>
              </w:rPr>
              <w:t>PÇ 12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  <w:r w:rsidRPr="00BA6BAB">
              <w:rPr>
                <w:rFonts w:eastAsia="Times New Roman"/>
                <w:sz w:val="22"/>
                <w:szCs w:val="24"/>
              </w:rPr>
              <w:t>√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70E5" w:rsidRPr="00BA6BAB" w:rsidRDefault="003770E5" w:rsidP="00114FA4">
            <w:pPr>
              <w:rPr>
                <w:sz w:val="22"/>
                <w:szCs w:val="24"/>
              </w:rPr>
            </w:pPr>
          </w:p>
        </w:tc>
      </w:tr>
    </w:tbl>
    <w:p w:rsidR="003770E5" w:rsidRPr="00930055" w:rsidRDefault="003770E5" w:rsidP="008B31B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5CA" w:rsidRDefault="009035CA"/>
    <w:sectPr w:rsidR="0090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022"/>
    <w:multiLevelType w:val="multilevel"/>
    <w:tmpl w:val="1D2A42B6"/>
    <w:lvl w:ilvl="0">
      <w:start w:val="3"/>
      <w:numFmt w:val="decimal"/>
      <w:lvlText w:val="%1"/>
      <w:lvlJc w:val="left"/>
      <w:pPr>
        <w:ind w:left="480" w:hanging="48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ajorEastAsia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95"/>
    <w:rsid w:val="003770E5"/>
    <w:rsid w:val="00441A95"/>
    <w:rsid w:val="008B31B5"/>
    <w:rsid w:val="009035CA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2DB6"/>
  <w15:chartTrackingRefBased/>
  <w15:docId w15:val="{1F6C34B9-E906-446D-8E57-2C0146A5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B5"/>
    <w:pPr>
      <w:spacing w:after="0" w:line="240" w:lineRule="auto"/>
    </w:pPr>
    <w:rPr>
      <w:rFonts w:ascii="Calibri" w:eastAsia="Calibri" w:hAnsi="Calibri" w:cs="Arial"/>
      <w:sz w:val="20"/>
      <w:szCs w:val="20"/>
      <w:lang w:val="az-Latn-AZ" w:eastAsia="az-Latn-AZ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770E5"/>
    <w:pPr>
      <w:keepNext/>
      <w:keepLines/>
      <w:spacing w:before="200" w:after="120"/>
      <w:jc w:val="both"/>
      <w:outlineLvl w:val="2"/>
    </w:pPr>
    <w:rPr>
      <w:rFonts w:eastAsiaTheme="majorEastAsia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770E5"/>
    <w:rPr>
      <w:rFonts w:ascii="Calibri" w:eastAsiaTheme="majorEastAsia" w:hAnsi="Calibri" w:cstheme="majorBidi"/>
      <w:b/>
      <w:bCs/>
      <w:sz w:val="24"/>
      <w:szCs w:val="20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2019-12-11T15:52:00Z</dcterms:created>
  <dcterms:modified xsi:type="dcterms:W3CDTF">2021-02-26T12:19:00Z</dcterms:modified>
</cp:coreProperties>
</file>