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BBDEF" w14:textId="77777777" w:rsidR="009C52AC" w:rsidRPr="00052AAB" w:rsidRDefault="008511D6" w:rsidP="00052AAB">
      <w:pPr>
        <w:shd w:val="clear" w:color="auto" w:fill="FFFFFF" w:themeFill="background1"/>
        <w:jc w:val="center"/>
        <w:rPr>
          <w:b/>
        </w:rPr>
      </w:pPr>
      <w:r w:rsidRPr="00052AAB">
        <w:rPr>
          <w:b/>
        </w:rPr>
        <w:t>ATATÜRK ÜNİVERSİTESİ</w:t>
      </w:r>
    </w:p>
    <w:p w14:paraId="0E2250E5" w14:textId="08620C8B" w:rsidR="002B774E" w:rsidRPr="00052AAB" w:rsidRDefault="00B419BD" w:rsidP="00052AAB">
      <w:pPr>
        <w:shd w:val="clear" w:color="auto" w:fill="FFFFFF" w:themeFill="background1"/>
        <w:jc w:val="center"/>
        <w:rPr>
          <w:b/>
        </w:rPr>
      </w:pPr>
      <w:r w:rsidRPr="00052AAB">
        <w:rPr>
          <w:b/>
        </w:rPr>
        <w:t xml:space="preserve">İKTİSADİ VE İDARİ BİLİMLER FAKÜLTESİ </w:t>
      </w:r>
      <w:r w:rsidR="006245EE" w:rsidRPr="00052AAB">
        <w:rPr>
          <w:b/>
        </w:rPr>
        <w:t>DEKANLIĞI</w:t>
      </w:r>
    </w:p>
    <w:p w14:paraId="55861737" w14:textId="65AB0087" w:rsidR="008511D6" w:rsidRPr="00052AAB" w:rsidRDefault="00E62ADC" w:rsidP="00052AAB">
      <w:pPr>
        <w:shd w:val="clear" w:color="auto" w:fill="FFFFFF" w:themeFill="background1"/>
        <w:jc w:val="center"/>
        <w:rPr>
          <w:b/>
        </w:rPr>
      </w:pPr>
      <w:r w:rsidRPr="00052AAB">
        <w:rPr>
          <w:b/>
        </w:rPr>
        <w:t>LİSANS</w:t>
      </w:r>
      <w:r w:rsidR="00DF4EAA" w:rsidRPr="00052AAB">
        <w:rPr>
          <w:b/>
        </w:rPr>
        <w:t xml:space="preserve"> EĞİTİM</w:t>
      </w:r>
      <w:r w:rsidR="001A5D39" w:rsidRPr="00052AAB">
        <w:rPr>
          <w:b/>
        </w:rPr>
        <w:t>-</w:t>
      </w:r>
      <w:r w:rsidR="00DF4EAA" w:rsidRPr="00052AAB">
        <w:rPr>
          <w:b/>
        </w:rPr>
        <w:t xml:space="preserve">ÖĞRETİM VE SINAV </w:t>
      </w:r>
      <w:r w:rsidR="008511D6" w:rsidRPr="00052AAB">
        <w:rPr>
          <w:b/>
        </w:rPr>
        <w:t>UYGULAMA ESASLARI</w:t>
      </w:r>
    </w:p>
    <w:p w14:paraId="14357166" w14:textId="77777777" w:rsidR="00561C0A" w:rsidRPr="00052AAB" w:rsidRDefault="00561C0A" w:rsidP="00052AAB">
      <w:pPr>
        <w:shd w:val="clear" w:color="auto" w:fill="FFFFFF" w:themeFill="background1"/>
        <w:ind w:firstLine="1134"/>
        <w:jc w:val="both"/>
      </w:pPr>
    </w:p>
    <w:p w14:paraId="614C166B" w14:textId="77777777" w:rsidR="00917DF7" w:rsidRPr="00052AAB" w:rsidRDefault="008511D6" w:rsidP="00052AAB">
      <w:pPr>
        <w:shd w:val="clear" w:color="auto" w:fill="FFFFFF" w:themeFill="background1"/>
        <w:ind w:firstLine="567"/>
        <w:jc w:val="both"/>
        <w:rPr>
          <w:b/>
        </w:rPr>
      </w:pPr>
      <w:r w:rsidRPr="00052AAB">
        <w:rPr>
          <w:b/>
        </w:rPr>
        <w:t>Dayanak</w:t>
      </w:r>
    </w:p>
    <w:p w14:paraId="3F04E1D6" w14:textId="77777777" w:rsidR="00B81EED" w:rsidRPr="00052AAB" w:rsidRDefault="00B81EED" w:rsidP="00052AAB">
      <w:pPr>
        <w:shd w:val="clear" w:color="auto" w:fill="FFFFFF" w:themeFill="background1"/>
        <w:ind w:firstLine="567"/>
        <w:jc w:val="both"/>
      </w:pPr>
      <w:r w:rsidRPr="00052AAB">
        <w:rPr>
          <w:b/>
        </w:rPr>
        <w:t xml:space="preserve">MADDE 1- </w:t>
      </w:r>
      <w:r w:rsidRPr="00052AAB">
        <w:t xml:space="preserve">(1) </w:t>
      </w:r>
      <w:r w:rsidR="00D9725A" w:rsidRPr="00052AAB">
        <w:t>Bu uygulama esasları 17.07.2017 tarih ve 30126 sayılı Resmi Gazete’de yayımlanan Atatürk Üniversitesi Ön Lisans ve Lisans Eğitim-Öğretim ve Sınav Yönetmeliğine dayanılarak hazırlanmıştır.</w:t>
      </w:r>
    </w:p>
    <w:p w14:paraId="395895DA" w14:textId="77777777" w:rsidR="00917DF7" w:rsidRPr="00052AAB" w:rsidRDefault="0067102D" w:rsidP="00052AAB">
      <w:pPr>
        <w:pStyle w:val="3-normalyaz"/>
        <w:shd w:val="clear" w:color="auto" w:fill="FFFFFF" w:themeFill="background1"/>
        <w:ind w:firstLine="567"/>
        <w:rPr>
          <w:b/>
          <w:bCs/>
          <w:sz w:val="20"/>
          <w:szCs w:val="20"/>
        </w:rPr>
      </w:pPr>
      <w:r w:rsidRPr="00052AAB">
        <w:rPr>
          <w:b/>
          <w:bCs/>
          <w:sz w:val="20"/>
          <w:szCs w:val="20"/>
        </w:rPr>
        <w:t>Kapsam</w:t>
      </w:r>
    </w:p>
    <w:p w14:paraId="16798E23" w14:textId="6AEEB339" w:rsidR="00D8156F" w:rsidRPr="00052AAB" w:rsidRDefault="0067102D" w:rsidP="00052AAB">
      <w:pPr>
        <w:pStyle w:val="3-normalyaz"/>
        <w:shd w:val="clear" w:color="auto" w:fill="FFFFFF" w:themeFill="background1"/>
        <w:ind w:firstLine="567"/>
        <w:rPr>
          <w:bCs/>
          <w:sz w:val="20"/>
          <w:szCs w:val="20"/>
        </w:rPr>
      </w:pPr>
      <w:r w:rsidRPr="00052AAB">
        <w:rPr>
          <w:b/>
          <w:bCs/>
          <w:sz w:val="20"/>
          <w:szCs w:val="20"/>
        </w:rPr>
        <w:t xml:space="preserve">MADDE 2 – </w:t>
      </w:r>
      <w:r w:rsidRPr="00052AAB">
        <w:rPr>
          <w:bCs/>
          <w:sz w:val="20"/>
          <w:szCs w:val="20"/>
        </w:rPr>
        <w:t>(1)</w:t>
      </w:r>
      <w:r w:rsidRPr="00052AAB">
        <w:rPr>
          <w:b/>
          <w:bCs/>
          <w:sz w:val="20"/>
          <w:szCs w:val="20"/>
        </w:rPr>
        <w:t xml:space="preserve"> </w:t>
      </w:r>
      <w:r w:rsidR="00A91D80" w:rsidRPr="00052AAB">
        <w:rPr>
          <w:bCs/>
          <w:sz w:val="20"/>
          <w:szCs w:val="20"/>
        </w:rPr>
        <w:t xml:space="preserve">Bu </w:t>
      </w:r>
      <w:r w:rsidR="00F10E50" w:rsidRPr="00052AAB">
        <w:rPr>
          <w:bCs/>
          <w:sz w:val="20"/>
          <w:szCs w:val="20"/>
        </w:rPr>
        <w:t>U</w:t>
      </w:r>
      <w:r w:rsidRPr="00052AAB">
        <w:rPr>
          <w:bCs/>
          <w:sz w:val="20"/>
          <w:szCs w:val="20"/>
        </w:rPr>
        <w:t xml:space="preserve">ygulama </w:t>
      </w:r>
      <w:r w:rsidR="00181784" w:rsidRPr="00052AAB">
        <w:rPr>
          <w:bCs/>
          <w:sz w:val="20"/>
          <w:szCs w:val="20"/>
        </w:rPr>
        <w:t xml:space="preserve">Esasları </w:t>
      </w:r>
      <w:r w:rsidR="00B419BD" w:rsidRPr="00052AAB">
        <w:rPr>
          <w:bCs/>
          <w:sz w:val="20"/>
          <w:szCs w:val="20"/>
        </w:rPr>
        <w:t>İktisadi ve İdari Bilimler Fakültesi</w:t>
      </w:r>
      <w:r w:rsidR="00D8156F" w:rsidRPr="00052AAB">
        <w:rPr>
          <w:sz w:val="20"/>
          <w:szCs w:val="20"/>
        </w:rPr>
        <w:t xml:space="preserve"> </w:t>
      </w:r>
      <w:r w:rsidR="006245EE" w:rsidRPr="00052AAB">
        <w:rPr>
          <w:sz w:val="20"/>
          <w:szCs w:val="20"/>
        </w:rPr>
        <w:t>Dekanlığında</w:t>
      </w:r>
      <w:r w:rsidR="00D8156F" w:rsidRPr="00052AAB">
        <w:rPr>
          <w:bCs/>
          <w:sz w:val="20"/>
          <w:szCs w:val="20"/>
        </w:rPr>
        <w:t xml:space="preserve"> </w:t>
      </w:r>
      <w:r w:rsidRPr="00052AAB">
        <w:rPr>
          <w:bCs/>
          <w:sz w:val="20"/>
          <w:szCs w:val="20"/>
        </w:rPr>
        <w:t xml:space="preserve">eğitim-öğretim </w:t>
      </w:r>
      <w:r w:rsidR="00CC0ADA" w:rsidRPr="00052AAB">
        <w:rPr>
          <w:bCs/>
          <w:sz w:val="20"/>
          <w:szCs w:val="20"/>
        </w:rPr>
        <w:t>yapılan lisans programlarını</w:t>
      </w:r>
      <w:r w:rsidRPr="00052AAB">
        <w:rPr>
          <w:bCs/>
          <w:sz w:val="20"/>
          <w:szCs w:val="20"/>
        </w:rPr>
        <w:t xml:space="preserve"> kapsar. </w:t>
      </w:r>
    </w:p>
    <w:p w14:paraId="504E8232" w14:textId="77777777" w:rsidR="002213DC" w:rsidRPr="00052AAB" w:rsidRDefault="002213DC" w:rsidP="00052AAB">
      <w:pPr>
        <w:pStyle w:val="3-normalyaz"/>
        <w:shd w:val="clear" w:color="auto" w:fill="FFFFFF" w:themeFill="background1"/>
        <w:ind w:firstLine="567"/>
        <w:rPr>
          <w:b/>
          <w:bCs/>
          <w:sz w:val="20"/>
          <w:szCs w:val="20"/>
        </w:rPr>
      </w:pPr>
      <w:r w:rsidRPr="00052AAB">
        <w:rPr>
          <w:b/>
          <w:bCs/>
          <w:sz w:val="20"/>
          <w:szCs w:val="20"/>
        </w:rPr>
        <w:t xml:space="preserve">Eğitim-öğretim </w:t>
      </w:r>
    </w:p>
    <w:p w14:paraId="6EE59BD1" w14:textId="77777777" w:rsidR="00453B8D" w:rsidRPr="00052AAB" w:rsidRDefault="002213DC" w:rsidP="00052AAB">
      <w:pPr>
        <w:shd w:val="clear" w:color="auto" w:fill="FFFFFF" w:themeFill="background1"/>
        <w:ind w:firstLine="567"/>
        <w:jc w:val="both"/>
        <w:rPr>
          <w:bCs/>
          <w:lang w:bidi="ar-SA"/>
        </w:rPr>
      </w:pPr>
      <w:r w:rsidRPr="00052AAB">
        <w:rPr>
          <w:b/>
          <w:bCs/>
        </w:rPr>
        <w:t>MADDE 3 –</w:t>
      </w:r>
      <w:r w:rsidRPr="00052AAB">
        <w:rPr>
          <w:bCs/>
        </w:rPr>
        <w:t xml:space="preserve"> (1) </w:t>
      </w:r>
      <w:r w:rsidRPr="00052AAB">
        <w:rPr>
          <w:bCs/>
          <w:lang w:bidi="ar-SA"/>
        </w:rPr>
        <w:t>Uygulamalı derslerde başarı kriterleri</w:t>
      </w:r>
      <w:r w:rsidR="00453B8D" w:rsidRPr="00052AAB">
        <w:rPr>
          <w:bCs/>
          <w:lang w:bidi="ar-SA"/>
        </w:rPr>
        <w:t>,</w:t>
      </w:r>
      <w:r w:rsidRPr="00052AAB">
        <w:rPr>
          <w:bCs/>
          <w:lang w:bidi="ar-SA"/>
        </w:rPr>
        <w:t xml:space="preserve"> teorik derslerdeki başarı kriterleri</w:t>
      </w:r>
      <w:r w:rsidR="00453B8D" w:rsidRPr="00052AAB">
        <w:rPr>
          <w:bCs/>
          <w:lang w:bidi="ar-SA"/>
        </w:rPr>
        <w:t>dir.</w:t>
      </w:r>
    </w:p>
    <w:p w14:paraId="79979117" w14:textId="4E49EAF4" w:rsidR="002213DC" w:rsidRPr="00052AAB" w:rsidRDefault="002213DC" w:rsidP="00052AAB">
      <w:pPr>
        <w:shd w:val="clear" w:color="auto" w:fill="FFFFFF" w:themeFill="background1"/>
        <w:ind w:firstLine="567"/>
        <w:jc w:val="both"/>
        <w:rPr>
          <w:bCs/>
          <w:lang w:bidi="ar-SA"/>
        </w:rPr>
      </w:pPr>
      <w:r w:rsidRPr="00052AAB">
        <w:rPr>
          <w:bCs/>
          <w:lang w:bidi="ar-SA"/>
        </w:rPr>
        <w:t>(2) Uzaktan eğitim</w:t>
      </w:r>
      <w:r w:rsidR="00101D49" w:rsidRPr="00052AAB">
        <w:rPr>
          <w:bCs/>
          <w:lang w:bidi="ar-SA"/>
        </w:rPr>
        <w:t xml:space="preserve"> ile verilecek dersler ile ilgili süreçler</w:t>
      </w:r>
      <w:r w:rsidR="000309A9" w:rsidRPr="00052AAB">
        <w:rPr>
          <w:bCs/>
          <w:lang w:bidi="ar-SA"/>
        </w:rPr>
        <w:t>,</w:t>
      </w:r>
      <w:r w:rsidR="00101D49" w:rsidRPr="00052AAB">
        <w:rPr>
          <w:bCs/>
          <w:lang w:bidi="ar-SA"/>
        </w:rPr>
        <w:t xml:space="preserve"> </w:t>
      </w:r>
      <w:r w:rsidR="00E62ADC" w:rsidRPr="00052AAB">
        <w:rPr>
          <w:bCs/>
          <w:lang w:bidi="ar-SA"/>
        </w:rPr>
        <w:t>Açık ve Uzaktan Öğretim Fakültesi Dekanlığı</w:t>
      </w:r>
      <w:r w:rsidR="00101D49" w:rsidRPr="00052AAB">
        <w:rPr>
          <w:bCs/>
          <w:lang w:bidi="ar-SA"/>
        </w:rPr>
        <w:t xml:space="preserve"> tarafından belirlenecek ilke, kapsam ve koşullarda yürütülecektir.</w:t>
      </w:r>
    </w:p>
    <w:p w14:paraId="46A61C69" w14:textId="77777777" w:rsidR="00917DF7" w:rsidRPr="00052AAB" w:rsidRDefault="008511D6" w:rsidP="00052AAB">
      <w:pPr>
        <w:shd w:val="clear" w:color="auto" w:fill="FFFFFF" w:themeFill="background1"/>
        <w:ind w:firstLine="567"/>
        <w:jc w:val="both"/>
        <w:rPr>
          <w:b/>
        </w:rPr>
      </w:pPr>
      <w:r w:rsidRPr="00052AAB">
        <w:rPr>
          <w:b/>
        </w:rPr>
        <w:t>Öğretim programları</w:t>
      </w:r>
    </w:p>
    <w:p w14:paraId="6D9CC820" w14:textId="259A5B84" w:rsidR="00917DF7" w:rsidRPr="00052AAB" w:rsidRDefault="008511D6" w:rsidP="00052AAB">
      <w:pPr>
        <w:shd w:val="clear" w:color="auto" w:fill="FFFFFF" w:themeFill="background1"/>
        <w:ind w:firstLine="567"/>
        <w:jc w:val="both"/>
      </w:pPr>
      <w:r w:rsidRPr="00052AAB">
        <w:rPr>
          <w:b/>
        </w:rPr>
        <w:t xml:space="preserve">MADDE </w:t>
      </w:r>
      <w:r w:rsidR="002213DC" w:rsidRPr="00052AAB">
        <w:rPr>
          <w:b/>
        </w:rPr>
        <w:t>4</w:t>
      </w:r>
      <w:r w:rsidRPr="00052AAB">
        <w:t xml:space="preserve"> - </w:t>
      </w:r>
      <w:r w:rsidR="003D0519" w:rsidRPr="00052AAB">
        <w:t>(</w:t>
      </w:r>
      <w:r w:rsidR="00CC0ADA" w:rsidRPr="00052AAB">
        <w:t xml:space="preserve">1) </w:t>
      </w:r>
      <w:r w:rsidR="00BD26DC" w:rsidRPr="00052AAB">
        <w:rPr>
          <w:bCs/>
        </w:rPr>
        <w:t>Dekanlık</w:t>
      </w:r>
      <w:r w:rsidR="00B14F8E" w:rsidRPr="00052AAB">
        <w:rPr>
          <w:bCs/>
        </w:rPr>
        <w:t xml:space="preserve"> bünyesinde yürütülen </w:t>
      </w:r>
      <w:r w:rsidR="00CC0ADA" w:rsidRPr="00052AAB">
        <w:t xml:space="preserve">programlarda </w:t>
      </w:r>
      <w:r w:rsidR="003D0519" w:rsidRPr="00052AAB">
        <w:t xml:space="preserve">okutulacak olan </w:t>
      </w:r>
      <w:r w:rsidR="00BD26DC" w:rsidRPr="00052AAB">
        <w:t>dört</w:t>
      </w:r>
      <w:r w:rsidR="00712B60" w:rsidRPr="00052AAB">
        <w:t xml:space="preserve"> yıllık </w:t>
      </w:r>
      <w:r w:rsidR="00CC0ADA" w:rsidRPr="00052AAB">
        <w:t xml:space="preserve">lisans </w:t>
      </w:r>
      <w:r w:rsidR="003D0519" w:rsidRPr="00052AAB">
        <w:t xml:space="preserve">ders </w:t>
      </w:r>
      <w:r w:rsidR="00053AB5" w:rsidRPr="00052AAB">
        <w:t xml:space="preserve">(müfredat) </w:t>
      </w:r>
      <w:r w:rsidR="003D0519" w:rsidRPr="00052AAB">
        <w:t>programları ilişikte belirtildiği gibidir.</w:t>
      </w:r>
    </w:p>
    <w:p w14:paraId="32B6679D" w14:textId="0A4A0EE9" w:rsidR="00813737" w:rsidRPr="00052AAB" w:rsidRDefault="00813737" w:rsidP="00052AAB">
      <w:pPr>
        <w:shd w:val="clear" w:color="auto" w:fill="FFFFFF" w:themeFill="background1"/>
        <w:ind w:firstLine="567"/>
        <w:jc w:val="both"/>
      </w:pPr>
      <w:r w:rsidRPr="00052AAB">
        <w:t xml:space="preserve">(2)  </w:t>
      </w:r>
      <w:r w:rsidR="00BD26DC" w:rsidRPr="00052AAB">
        <w:rPr>
          <w:bCs/>
        </w:rPr>
        <w:t>Dekanlık</w:t>
      </w:r>
      <w:r w:rsidRPr="00052AAB">
        <w:rPr>
          <w:bCs/>
        </w:rPr>
        <w:t xml:space="preserve"> bünyesinde yürütülen programlardan </w:t>
      </w:r>
      <w:r w:rsidRPr="00052AAB">
        <w:t xml:space="preserve">mezun olabilmek için gerekli ulusal kredi ve AKTS kredi miktarları </w:t>
      </w:r>
      <w:r w:rsidR="00772494" w:rsidRPr="00052AAB">
        <w:t xml:space="preserve">ile seçmeli ders AKTS değerleri </w:t>
      </w:r>
      <w:r w:rsidRPr="00052AAB">
        <w:t xml:space="preserve">aşağıdaki tabloda belirtilmiştir. </w:t>
      </w:r>
    </w:p>
    <w:tbl>
      <w:tblPr>
        <w:tblStyle w:val="TabloKlavuzu"/>
        <w:tblW w:w="97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5"/>
        <w:gridCol w:w="938"/>
        <w:gridCol w:w="926"/>
        <w:gridCol w:w="1343"/>
        <w:gridCol w:w="1627"/>
        <w:gridCol w:w="1280"/>
      </w:tblGrid>
      <w:tr w:rsidR="00CA303A" w:rsidRPr="00052AAB" w14:paraId="016FE1E8" w14:textId="77777777" w:rsidTr="000774EB">
        <w:trPr>
          <w:jc w:val="center"/>
        </w:trPr>
        <w:tc>
          <w:tcPr>
            <w:tcW w:w="3635" w:type="dxa"/>
            <w:vAlign w:val="center"/>
          </w:tcPr>
          <w:p w14:paraId="1AB1D2C5" w14:textId="77777777" w:rsidR="00CA303A" w:rsidRPr="00052AAB" w:rsidRDefault="00CA303A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>PROGRAM ADI</w:t>
            </w:r>
          </w:p>
        </w:tc>
        <w:tc>
          <w:tcPr>
            <w:tcW w:w="938" w:type="dxa"/>
            <w:vAlign w:val="center"/>
          </w:tcPr>
          <w:p w14:paraId="32EF9626" w14:textId="77777777" w:rsidR="00CA303A" w:rsidRPr="00052AAB" w:rsidRDefault="00CA303A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>KREDİ</w:t>
            </w:r>
          </w:p>
        </w:tc>
        <w:tc>
          <w:tcPr>
            <w:tcW w:w="926" w:type="dxa"/>
            <w:vAlign w:val="center"/>
          </w:tcPr>
          <w:p w14:paraId="2C600DB1" w14:textId="77777777" w:rsidR="00CA303A" w:rsidRPr="00052AAB" w:rsidRDefault="00CA303A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>AKTS</w:t>
            </w:r>
          </w:p>
        </w:tc>
        <w:tc>
          <w:tcPr>
            <w:tcW w:w="1343" w:type="dxa"/>
            <w:vAlign w:val="center"/>
          </w:tcPr>
          <w:p w14:paraId="7BFA09A0" w14:textId="7F01D8F4" w:rsidR="00CA303A" w:rsidRPr="00052AAB" w:rsidRDefault="00CA303A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 xml:space="preserve">Seçmeli Derslerin (ÜSD Dahil) </w:t>
            </w:r>
          </w:p>
          <w:p w14:paraId="42504685" w14:textId="77777777" w:rsidR="00CA303A" w:rsidRPr="00052AAB" w:rsidRDefault="00CA303A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>AKTS Oranı</w:t>
            </w:r>
          </w:p>
        </w:tc>
        <w:tc>
          <w:tcPr>
            <w:tcW w:w="1627" w:type="dxa"/>
          </w:tcPr>
          <w:p w14:paraId="58B44ABA" w14:textId="6D92961D" w:rsidR="00CA303A" w:rsidRPr="00052AAB" w:rsidRDefault="00CA303A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>Uzaktan Eğitim Yoluyla Yapılacak Derslerin</w:t>
            </w:r>
            <w:r w:rsidR="00E83C7E" w:rsidRPr="00052AAB">
              <w:rPr>
                <w:b/>
              </w:rPr>
              <w:t xml:space="preserve"> AKTS</w:t>
            </w:r>
            <w:r w:rsidRPr="00052AAB">
              <w:rPr>
                <w:b/>
              </w:rPr>
              <w:t xml:space="preserve"> Oranı</w:t>
            </w:r>
          </w:p>
        </w:tc>
        <w:tc>
          <w:tcPr>
            <w:tcW w:w="1280" w:type="dxa"/>
            <w:vAlign w:val="center"/>
          </w:tcPr>
          <w:p w14:paraId="63ADDF33" w14:textId="54F96C1D" w:rsidR="00CA303A" w:rsidRPr="00052AAB" w:rsidRDefault="00E83C7E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>ÜSD</w:t>
            </w:r>
            <w:r w:rsidR="00CA303A" w:rsidRPr="00052AAB">
              <w:rPr>
                <w:b/>
              </w:rPr>
              <w:t xml:space="preserve"> Derslerin</w:t>
            </w:r>
            <w:r w:rsidRPr="00052AAB">
              <w:rPr>
                <w:b/>
              </w:rPr>
              <w:t>in</w:t>
            </w:r>
            <w:r w:rsidR="00CA303A" w:rsidRPr="00052AAB">
              <w:rPr>
                <w:b/>
              </w:rPr>
              <w:t xml:space="preserve"> </w:t>
            </w:r>
          </w:p>
          <w:p w14:paraId="20589599" w14:textId="77777777" w:rsidR="00CA303A" w:rsidRPr="00052AAB" w:rsidRDefault="00CA303A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>AKTS Oranı</w:t>
            </w:r>
          </w:p>
        </w:tc>
      </w:tr>
      <w:tr w:rsidR="00CA303A" w:rsidRPr="00052AAB" w14:paraId="31431C61" w14:textId="77777777" w:rsidTr="000774EB">
        <w:trPr>
          <w:jc w:val="center"/>
        </w:trPr>
        <w:tc>
          <w:tcPr>
            <w:tcW w:w="3635" w:type="dxa"/>
          </w:tcPr>
          <w:p w14:paraId="3C3A3428" w14:textId="5F132E25" w:rsidR="00CA303A" w:rsidRPr="00052AAB" w:rsidRDefault="00B419BD" w:rsidP="00052AAB">
            <w:pPr>
              <w:shd w:val="clear" w:color="auto" w:fill="FFFFFF" w:themeFill="background1"/>
            </w:pPr>
            <w:r w:rsidRPr="00052AAB">
              <w:t>Çalışma Ekonomisi ve Endüstri İlişkileri Bölümü</w:t>
            </w:r>
          </w:p>
        </w:tc>
        <w:tc>
          <w:tcPr>
            <w:tcW w:w="938" w:type="dxa"/>
          </w:tcPr>
          <w:p w14:paraId="1FEFC930" w14:textId="79C2B958" w:rsidR="00CA303A" w:rsidRPr="00052AAB" w:rsidRDefault="00B419BD" w:rsidP="00052AAB">
            <w:pPr>
              <w:shd w:val="clear" w:color="auto" w:fill="FFFFFF" w:themeFill="background1"/>
              <w:jc w:val="center"/>
            </w:pPr>
            <w:r w:rsidRPr="00052AAB">
              <w:t>160</w:t>
            </w:r>
          </w:p>
        </w:tc>
        <w:tc>
          <w:tcPr>
            <w:tcW w:w="926" w:type="dxa"/>
          </w:tcPr>
          <w:p w14:paraId="4D05EF88" w14:textId="59B20BA5" w:rsidR="00CA303A" w:rsidRPr="00052AAB" w:rsidRDefault="000774EB" w:rsidP="00052AAB">
            <w:pPr>
              <w:shd w:val="clear" w:color="auto" w:fill="FFFFFF" w:themeFill="background1"/>
              <w:jc w:val="center"/>
            </w:pPr>
            <w:r w:rsidRPr="00052AAB">
              <w:t>240</w:t>
            </w:r>
          </w:p>
        </w:tc>
        <w:tc>
          <w:tcPr>
            <w:tcW w:w="1343" w:type="dxa"/>
          </w:tcPr>
          <w:p w14:paraId="77C31DFA" w14:textId="726573BA" w:rsidR="00CA303A" w:rsidRPr="00052AAB" w:rsidRDefault="00B419BD" w:rsidP="00052AAB">
            <w:pPr>
              <w:shd w:val="clear" w:color="auto" w:fill="FFFFFF" w:themeFill="background1"/>
              <w:jc w:val="center"/>
            </w:pPr>
            <w:r w:rsidRPr="00052AAB">
              <w:t>28,8</w:t>
            </w:r>
          </w:p>
        </w:tc>
        <w:tc>
          <w:tcPr>
            <w:tcW w:w="1627" w:type="dxa"/>
          </w:tcPr>
          <w:p w14:paraId="7DDDD6A9" w14:textId="3257978D" w:rsidR="00CA303A" w:rsidRPr="00052AAB" w:rsidRDefault="00B419BD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>12,1</w:t>
            </w:r>
          </w:p>
        </w:tc>
        <w:tc>
          <w:tcPr>
            <w:tcW w:w="1280" w:type="dxa"/>
            <w:vAlign w:val="center"/>
          </w:tcPr>
          <w:p w14:paraId="1361FD67" w14:textId="1F4EB0D7" w:rsidR="00CA303A" w:rsidRPr="00052AAB" w:rsidRDefault="007D58F9" w:rsidP="00052AAB">
            <w:pPr>
              <w:shd w:val="clear" w:color="auto" w:fill="FFFFFF" w:themeFill="background1"/>
              <w:jc w:val="center"/>
            </w:pPr>
            <w:r w:rsidRPr="00052AAB">
              <w:t>5</w:t>
            </w:r>
          </w:p>
        </w:tc>
      </w:tr>
      <w:tr w:rsidR="000774EB" w:rsidRPr="00052AAB" w14:paraId="3E363328" w14:textId="77777777" w:rsidTr="000774EB">
        <w:trPr>
          <w:jc w:val="center"/>
        </w:trPr>
        <w:tc>
          <w:tcPr>
            <w:tcW w:w="3635" w:type="dxa"/>
          </w:tcPr>
          <w:p w14:paraId="2E4AEDBF" w14:textId="19877BFD" w:rsidR="000774EB" w:rsidRPr="00052AAB" w:rsidRDefault="00B419BD" w:rsidP="00052AAB">
            <w:pPr>
              <w:shd w:val="clear" w:color="auto" w:fill="FFFFFF" w:themeFill="background1"/>
            </w:pPr>
            <w:r w:rsidRPr="00052AAB">
              <w:t>Ekonometri</w:t>
            </w:r>
          </w:p>
        </w:tc>
        <w:tc>
          <w:tcPr>
            <w:tcW w:w="938" w:type="dxa"/>
          </w:tcPr>
          <w:p w14:paraId="0B8F803F" w14:textId="2F254D62" w:rsidR="000774EB" w:rsidRPr="00052AAB" w:rsidRDefault="00B419BD" w:rsidP="00052AAB">
            <w:pPr>
              <w:shd w:val="clear" w:color="auto" w:fill="FFFFFF" w:themeFill="background1"/>
              <w:jc w:val="center"/>
            </w:pPr>
            <w:r w:rsidRPr="00052AAB">
              <w:t>148</w:t>
            </w:r>
          </w:p>
        </w:tc>
        <w:tc>
          <w:tcPr>
            <w:tcW w:w="926" w:type="dxa"/>
          </w:tcPr>
          <w:p w14:paraId="1B37ABC8" w14:textId="6AEBFA20" w:rsidR="000774EB" w:rsidRPr="00052AAB" w:rsidRDefault="000774EB" w:rsidP="00052AAB">
            <w:pPr>
              <w:shd w:val="clear" w:color="auto" w:fill="FFFFFF" w:themeFill="background1"/>
              <w:jc w:val="center"/>
            </w:pPr>
            <w:r w:rsidRPr="00052AAB">
              <w:t>240</w:t>
            </w:r>
          </w:p>
        </w:tc>
        <w:tc>
          <w:tcPr>
            <w:tcW w:w="1343" w:type="dxa"/>
          </w:tcPr>
          <w:p w14:paraId="41C5E8A7" w14:textId="227A8887" w:rsidR="000774EB" w:rsidRPr="00052AAB" w:rsidRDefault="00B419BD" w:rsidP="00052AAB">
            <w:pPr>
              <w:shd w:val="clear" w:color="auto" w:fill="FFFFFF" w:themeFill="background1"/>
              <w:jc w:val="center"/>
            </w:pPr>
            <w:r w:rsidRPr="00052AAB">
              <w:t>20,0</w:t>
            </w:r>
          </w:p>
        </w:tc>
        <w:tc>
          <w:tcPr>
            <w:tcW w:w="1627" w:type="dxa"/>
          </w:tcPr>
          <w:p w14:paraId="607B3611" w14:textId="7F25BECB" w:rsidR="000774EB" w:rsidRPr="00052AAB" w:rsidRDefault="00B419BD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>12,01</w:t>
            </w:r>
          </w:p>
        </w:tc>
        <w:tc>
          <w:tcPr>
            <w:tcW w:w="1280" w:type="dxa"/>
            <w:vAlign w:val="center"/>
          </w:tcPr>
          <w:p w14:paraId="71D61D7D" w14:textId="18944256" w:rsidR="000774EB" w:rsidRPr="00052AAB" w:rsidRDefault="007D58F9" w:rsidP="00052AAB">
            <w:pPr>
              <w:shd w:val="clear" w:color="auto" w:fill="FFFFFF" w:themeFill="background1"/>
              <w:jc w:val="center"/>
            </w:pPr>
            <w:r w:rsidRPr="00052AAB">
              <w:t>6,25</w:t>
            </w:r>
          </w:p>
        </w:tc>
      </w:tr>
      <w:tr w:rsidR="000774EB" w:rsidRPr="00052AAB" w14:paraId="485023C5" w14:textId="77777777" w:rsidTr="000774EB">
        <w:trPr>
          <w:jc w:val="center"/>
        </w:trPr>
        <w:tc>
          <w:tcPr>
            <w:tcW w:w="3635" w:type="dxa"/>
          </w:tcPr>
          <w:p w14:paraId="76242412" w14:textId="143918C2" w:rsidR="000774EB" w:rsidRPr="00052AAB" w:rsidRDefault="00E846A8" w:rsidP="00052AAB">
            <w:pPr>
              <w:shd w:val="clear" w:color="auto" w:fill="FFFFFF" w:themeFill="background1"/>
            </w:pPr>
            <w:r w:rsidRPr="00052AAB">
              <w:t>İktisat</w:t>
            </w:r>
          </w:p>
        </w:tc>
        <w:tc>
          <w:tcPr>
            <w:tcW w:w="938" w:type="dxa"/>
          </w:tcPr>
          <w:p w14:paraId="6388C58A" w14:textId="5EFDA38B" w:rsidR="000774EB" w:rsidRPr="00052AAB" w:rsidRDefault="00E846A8" w:rsidP="00052AAB">
            <w:pPr>
              <w:shd w:val="clear" w:color="auto" w:fill="FFFFFF" w:themeFill="background1"/>
              <w:jc w:val="center"/>
            </w:pPr>
            <w:r w:rsidRPr="00052AAB">
              <w:t>158</w:t>
            </w:r>
          </w:p>
        </w:tc>
        <w:tc>
          <w:tcPr>
            <w:tcW w:w="926" w:type="dxa"/>
          </w:tcPr>
          <w:p w14:paraId="110F3AD8" w14:textId="4337925E" w:rsidR="000774EB" w:rsidRPr="00052AAB" w:rsidRDefault="000774EB" w:rsidP="00052AAB">
            <w:pPr>
              <w:shd w:val="clear" w:color="auto" w:fill="FFFFFF" w:themeFill="background1"/>
              <w:jc w:val="center"/>
            </w:pPr>
            <w:r w:rsidRPr="00052AAB">
              <w:t>240</w:t>
            </w:r>
          </w:p>
        </w:tc>
        <w:tc>
          <w:tcPr>
            <w:tcW w:w="1343" w:type="dxa"/>
          </w:tcPr>
          <w:p w14:paraId="10511FAD" w14:textId="4D0A7929" w:rsidR="000774EB" w:rsidRPr="00052AAB" w:rsidRDefault="00E846A8" w:rsidP="00052AAB">
            <w:pPr>
              <w:shd w:val="clear" w:color="auto" w:fill="FFFFFF" w:themeFill="background1"/>
              <w:jc w:val="center"/>
            </w:pPr>
            <w:r w:rsidRPr="00052AAB">
              <w:t>23,08</w:t>
            </w:r>
          </w:p>
        </w:tc>
        <w:tc>
          <w:tcPr>
            <w:tcW w:w="1627" w:type="dxa"/>
          </w:tcPr>
          <w:p w14:paraId="1338F3F6" w14:textId="5FFE99AF" w:rsidR="000774EB" w:rsidRPr="00052AAB" w:rsidRDefault="00E846A8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>12,01</w:t>
            </w:r>
          </w:p>
        </w:tc>
        <w:tc>
          <w:tcPr>
            <w:tcW w:w="1280" w:type="dxa"/>
            <w:vAlign w:val="center"/>
          </w:tcPr>
          <w:p w14:paraId="0AF3DC1E" w14:textId="262AC578" w:rsidR="000774EB" w:rsidRPr="00052AAB" w:rsidRDefault="007D58F9" w:rsidP="00052AAB">
            <w:pPr>
              <w:shd w:val="clear" w:color="auto" w:fill="FFFFFF" w:themeFill="background1"/>
              <w:jc w:val="center"/>
            </w:pPr>
            <w:r w:rsidRPr="00052AAB">
              <w:t>5</w:t>
            </w:r>
          </w:p>
        </w:tc>
      </w:tr>
      <w:tr w:rsidR="000774EB" w:rsidRPr="00052AAB" w14:paraId="5BDC39DA" w14:textId="77777777" w:rsidTr="000774EB">
        <w:trPr>
          <w:jc w:val="center"/>
        </w:trPr>
        <w:tc>
          <w:tcPr>
            <w:tcW w:w="3635" w:type="dxa"/>
          </w:tcPr>
          <w:p w14:paraId="0F64B59E" w14:textId="7CAAD2F7" w:rsidR="000774EB" w:rsidRPr="00052AAB" w:rsidRDefault="00E846A8" w:rsidP="00052AAB">
            <w:pPr>
              <w:shd w:val="clear" w:color="auto" w:fill="FFFFFF" w:themeFill="background1"/>
            </w:pPr>
            <w:r w:rsidRPr="00052AAB">
              <w:t>Kamu Yönetimi</w:t>
            </w:r>
          </w:p>
        </w:tc>
        <w:tc>
          <w:tcPr>
            <w:tcW w:w="938" w:type="dxa"/>
          </w:tcPr>
          <w:p w14:paraId="25982B2B" w14:textId="08CF6B96" w:rsidR="000774EB" w:rsidRPr="00052AAB" w:rsidRDefault="00E846A8" w:rsidP="00052AAB">
            <w:pPr>
              <w:shd w:val="clear" w:color="auto" w:fill="FFFFFF" w:themeFill="background1"/>
              <w:jc w:val="center"/>
            </w:pPr>
            <w:r w:rsidRPr="00052AAB">
              <w:t>156</w:t>
            </w:r>
          </w:p>
        </w:tc>
        <w:tc>
          <w:tcPr>
            <w:tcW w:w="926" w:type="dxa"/>
          </w:tcPr>
          <w:p w14:paraId="59BCD002" w14:textId="2D65C1A8" w:rsidR="000774EB" w:rsidRPr="00052AAB" w:rsidRDefault="000774EB" w:rsidP="00052AAB">
            <w:pPr>
              <w:shd w:val="clear" w:color="auto" w:fill="FFFFFF" w:themeFill="background1"/>
              <w:jc w:val="center"/>
            </w:pPr>
            <w:r w:rsidRPr="00052AAB">
              <w:t>240</w:t>
            </w:r>
          </w:p>
        </w:tc>
        <w:tc>
          <w:tcPr>
            <w:tcW w:w="1343" w:type="dxa"/>
          </w:tcPr>
          <w:p w14:paraId="3B84D031" w14:textId="72461DBF" w:rsidR="000774EB" w:rsidRPr="00052AAB" w:rsidRDefault="00E846A8" w:rsidP="00052AAB">
            <w:pPr>
              <w:shd w:val="clear" w:color="auto" w:fill="FFFFFF" w:themeFill="background1"/>
              <w:jc w:val="center"/>
            </w:pPr>
            <w:r w:rsidRPr="00052AAB">
              <w:t>25,0</w:t>
            </w:r>
          </w:p>
        </w:tc>
        <w:tc>
          <w:tcPr>
            <w:tcW w:w="1627" w:type="dxa"/>
          </w:tcPr>
          <w:p w14:paraId="7133BE1E" w14:textId="79A71963" w:rsidR="000774EB" w:rsidRPr="00052AAB" w:rsidRDefault="00E846A8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>12,01</w:t>
            </w:r>
          </w:p>
        </w:tc>
        <w:tc>
          <w:tcPr>
            <w:tcW w:w="1280" w:type="dxa"/>
            <w:vAlign w:val="center"/>
          </w:tcPr>
          <w:p w14:paraId="69116853" w14:textId="264F10AE" w:rsidR="000774EB" w:rsidRPr="00052AAB" w:rsidRDefault="007D58F9" w:rsidP="00052AAB">
            <w:pPr>
              <w:shd w:val="clear" w:color="auto" w:fill="FFFFFF" w:themeFill="background1"/>
              <w:jc w:val="center"/>
            </w:pPr>
            <w:r w:rsidRPr="00052AAB">
              <w:t>7,25</w:t>
            </w:r>
          </w:p>
        </w:tc>
      </w:tr>
      <w:tr w:rsidR="000774EB" w:rsidRPr="00052AAB" w14:paraId="6823B3DD" w14:textId="77777777" w:rsidTr="000774EB">
        <w:trPr>
          <w:jc w:val="center"/>
        </w:trPr>
        <w:tc>
          <w:tcPr>
            <w:tcW w:w="3635" w:type="dxa"/>
          </w:tcPr>
          <w:p w14:paraId="76A48569" w14:textId="36F51423" w:rsidR="000774EB" w:rsidRPr="00052AAB" w:rsidRDefault="00E846A8" w:rsidP="00052AAB">
            <w:pPr>
              <w:shd w:val="clear" w:color="auto" w:fill="FFFFFF" w:themeFill="background1"/>
            </w:pPr>
            <w:r w:rsidRPr="00052AAB">
              <w:t>İşletme</w:t>
            </w:r>
          </w:p>
        </w:tc>
        <w:tc>
          <w:tcPr>
            <w:tcW w:w="938" w:type="dxa"/>
          </w:tcPr>
          <w:p w14:paraId="209EF49F" w14:textId="1D96C414" w:rsidR="000774EB" w:rsidRPr="00052AAB" w:rsidRDefault="002B2BBD" w:rsidP="00052AAB">
            <w:pPr>
              <w:shd w:val="clear" w:color="auto" w:fill="FFFFFF" w:themeFill="background1"/>
              <w:jc w:val="center"/>
            </w:pPr>
            <w:r>
              <w:t>149</w:t>
            </w:r>
          </w:p>
        </w:tc>
        <w:tc>
          <w:tcPr>
            <w:tcW w:w="926" w:type="dxa"/>
          </w:tcPr>
          <w:p w14:paraId="0D1B4BC3" w14:textId="5B7B6AC6" w:rsidR="000774EB" w:rsidRPr="00052AAB" w:rsidRDefault="000774EB" w:rsidP="00052AAB">
            <w:pPr>
              <w:shd w:val="clear" w:color="auto" w:fill="FFFFFF" w:themeFill="background1"/>
              <w:jc w:val="center"/>
            </w:pPr>
            <w:r w:rsidRPr="00052AAB">
              <w:t>240</w:t>
            </w:r>
          </w:p>
        </w:tc>
        <w:tc>
          <w:tcPr>
            <w:tcW w:w="1343" w:type="dxa"/>
            <w:vAlign w:val="center"/>
          </w:tcPr>
          <w:p w14:paraId="6B361CB4" w14:textId="3F4A3991" w:rsidR="000774EB" w:rsidRPr="00052AAB" w:rsidRDefault="00E846A8" w:rsidP="00052AAB">
            <w:pPr>
              <w:shd w:val="clear" w:color="auto" w:fill="FFFFFF" w:themeFill="background1"/>
              <w:jc w:val="center"/>
            </w:pPr>
            <w:r w:rsidRPr="00052AAB">
              <w:t>20,0</w:t>
            </w:r>
          </w:p>
        </w:tc>
        <w:tc>
          <w:tcPr>
            <w:tcW w:w="1627" w:type="dxa"/>
          </w:tcPr>
          <w:p w14:paraId="6E44B877" w14:textId="7225E3B5" w:rsidR="000774EB" w:rsidRPr="00052AAB" w:rsidRDefault="00E846A8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>12,50</w:t>
            </w:r>
          </w:p>
        </w:tc>
        <w:tc>
          <w:tcPr>
            <w:tcW w:w="1280" w:type="dxa"/>
            <w:vAlign w:val="center"/>
          </w:tcPr>
          <w:p w14:paraId="15F80D52" w14:textId="1DB9B1C4" w:rsidR="000774EB" w:rsidRPr="00052AAB" w:rsidRDefault="007D58F9" w:rsidP="00052AAB">
            <w:pPr>
              <w:shd w:val="clear" w:color="auto" w:fill="FFFFFF" w:themeFill="background1"/>
              <w:jc w:val="center"/>
            </w:pPr>
            <w:r w:rsidRPr="00052AAB">
              <w:t>6,25</w:t>
            </w:r>
          </w:p>
        </w:tc>
      </w:tr>
      <w:tr w:rsidR="00E846A8" w:rsidRPr="00052AAB" w14:paraId="117FE556" w14:textId="77777777" w:rsidTr="000774EB">
        <w:trPr>
          <w:jc w:val="center"/>
        </w:trPr>
        <w:tc>
          <w:tcPr>
            <w:tcW w:w="3635" w:type="dxa"/>
          </w:tcPr>
          <w:p w14:paraId="4149FBC1" w14:textId="48E1B29D" w:rsidR="00E846A8" w:rsidRPr="00052AAB" w:rsidRDefault="00E846A8" w:rsidP="00052AAB">
            <w:pPr>
              <w:shd w:val="clear" w:color="auto" w:fill="FFFFFF" w:themeFill="background1"/>
            </w:pPr>
            <w:r w:rsidRPr="00052AAB">
              <w:t>Uluslararası İlişkiler</w:t>
            </w:r>
          </w:p>
        </w:tc>
        <w:tc>
          <w:tcPr>
            <w:tcW w:w="938" w:type="dxa"/>
          </w:tcPr>
          <w:p w14:paraId="4E4BEA16" w14:textId="136470E6" w:rsidR="00E846A8" w:rsidRPr="00052AAB" w:rsidRDefault="00E846A8" w:rsidP="00052AAB">
            <w:pPr>
              <w:shd w:val="clear" w:color="auto" w:fill="FFFFFF" w:themeFill="background1"/>
              <w:jc w:val="center"/>
            </w:pPr>
            <w:r w:rsidRPr="00052AAB">
              <w:t>146</w:t>
            </w:r>
          </w:p>
        </w:tc>
        <w:tc>
          <w:tcPr>
            <w:tcW w:w="926" w:type="dxa"/>
          </w:tcPr>
          <w:p w14:paraId="51603910" w14:textId="23FCBF5A" w:rsidR="00E846A8" w:rsidRPr="00052AAB" w:rsidRDefault="00E846A8" w:rsidP="00052AAB">
            <w:pPr>
              <w:shd w:val="clear" w:color="auto" w:fill="FFFFFF" w:themeFill="background1"/>
              <w:jc w:val="center"/>
            </w:pPr>
            <w:r w:rsidRPr="00052AAB">
              <w:t>240</w:t>
            </w:r>
          </w:p>
        </w:tc>
        <w:tc>
          <w:tcPr>
            <w:tcW w:w="1343" w:type="dxa"/>
            <w:vAlign w:val="center"/>
          </w:tcPr>
          <w:p w14:paraId="737A0A4E" w14:textId="78C897A2" w:rsidR="00E846A8" w:rsidRPr="00052AAB" w:rsidRDefault="00E846A8" w:rsidP="00052AAB">
            <w:pPr>
              <w:shd w:val="clear" w:color="auto" w:fill="FFFFFF" w:themeFill="background1"/>
              <w:jc w:val="center"/>
            </w:pPr>
            <w:r w:rsidRPr="00052AAB">
              <w:t>22,50</w:t>
            </w:r>
          </w:p>
        </w:tc>
        <w:tc>
          <w:tcPr>
            <w:tcW w:w="1627" w:type="dxa"/>
          </w:tcPr>
          <w:p w14:paraId="2BEA36F7" w14:textId="7372571E" w:rsidR="00E846A8" w:rsidRPr="00052AAB" w:rsidRDefault="00E846A8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>12,01</w:t>
            </w:r>
          </w:p>
        </w:tc>
        <w:tc>
          <w:tcPr>
            <w:tcW w:w="1280" w:type="dxa"/>
            <w:vAlign w:val="center"/>
          </w:tcPr>
          <w:p w14:paraId="534B7978" w14:textId="0D1197BA" w:rsidR="00E846A8" w:rsidRPr="00052AAB" w:rsidRDefault="007D58F9" w:rsidP="00052AAB">
            <w:pPr>
              <w:shd w:val="clear" w:color="auto" w:fill="FFFFFF" w:themeFill="background1"/>
              <w:jc w:val="center"/>
            </w:pPr>
            <w:r w:rsidRPr="00052AAB">
              <w:t>5</w:t>
            </w:r>
          </w:p>
        </w:tc>
      </w:tr>
      <w:tr w:rsidR="00E846A8" w:rsidRPr="00052AAB" w14:paraId="3C5E18AC" w14:textId="77777777" w:rsidTr="000774EB">
        <w:trPr>
          <w:jc w:val="center"/>
        </w:trPr>
        <w:tc>
          <w:tcPr>
            <w:tcW w:w="3635" w:type="dxa"/>
          </w:tcPr>
          <w:p w14:paraId="72AAEAC3" w14:textId="45CAC820" w:rsidR="00E846A8" w:rsidRPr="00052AAB" w:rsidRDefault="00E846A8" w:rsidP="00052AAB">
            <w:pPr>
              <w:shd w:val="clear" w:color="auto" w:fill="FFFFFF" w:themeFill="background1"/>
            </w:pPr>
            <w:r w:rsidRPr="00052AAB">
              <w:t>Uluslararası Ticaret ve Lojistik</w:t>
            </w:r>
          </w:p>
        </w:tc>
        <w:tc>
          <w:tcPr>
            <w:tcW w:w="938" w:type="dxa"/>
          </w:tcPr>
          <w:p w14:paraId="21FD283D" w14:textId="6A4024CF" w:rsidR="00E846A8" w:rsidRPr="00052AAB" w:rsidRDefault="00E846A8" w:rsidP="00052AAB">
            <w:pPr>
              <w:shd w:val="clear" w:color="auto" w:fill="FFFFFF" w:themeFill="background1"/>
              <w:jc w:val="center"/>
            </w:pPr>
            <w:r w:rsidRPr="00052AAB">
              <w:t>146,50</w:t>
            </w:r>
          </w:p>
        </w:tc>
        <w:tc>
          <w:tcPr>
            <w:tcW w:w="926" w:type="dxa"/>
          </w:tcPr>
          <w:p w14:paraId="07FD6722" w14:textId="3245B5B7" w:rsidR="00E846A8" w:rsidRPr="00052AAB" w:rsidRDefault="00E846A8" w:rsidP="00052AAB">
            <w:pPr>
              <w:shd w:val="clear" w:color="auto" w:fill="FFFFFF" w:themeFill="background1"/>
              <w:jc w:val="center"/>
            </w:pPr>
            <w:r w:rsidRPr="00052AAB">
              <w:t>240</w:t>
            </w:r>
          </w:p>
        </w:tc>
        <w:tc>
          <w:tcPr>
            <w:tcW w:w="1343" w:type="dxa"/>
            <w:vAlign w:val="center"/>
          </w:tcPr>
          <w:p w14:paraId="1F6A34F5" w14:textId="02EC8AD1" w:rsidR="00E846A8" w:rsidRPr="00052AAB" w:rsidRDefault="00E846A8" w:rsidP="00052AAB">
            <w:pPr>
              <w:shd w:val="clear" w:color="auto" w:fill="FFFFFF" w:themeFill="background1"/>
              <w:jc w:val="center"/>
            </w:pPr>
            <w:r w:rsidRPr="00052AAB">
              <w:t>20,0</w:t>
            </w:r>
          </w:p>
        </w:tc>
        <w:tc>
          <w:tcPr>
            <w:tcW w:w="1627" w:type="dxa"/>
          </w:tcPr>
          <w:p w14:paraId="487E57EC" w14:textId="55B2E1BB" w:rsidR="00E846A8" w:rsidRPr="00052AAB" w:rsidRDefault="00E846A8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>13,08</w:t>
            </w:r>
          </w:p>
        </w:tc>
        <w:tc>
          <w:tcPr>
            <w:tcW w:w="1280" w:type="dxa"/>
            <w:vAlign w:val="center"/>
          </w:tcPr>
          <w:p w14:paraId="31FFC610" w14:textId="671C51B4" w:rsidR="00E846A8" w:rsidRPr="00052AAB" w:rsidRDefault="007D58F9" w:rsidP="00052AAB">
            <w:pPr>
              <w:shd w:val="clear" w:color="auto" w:fill="FFFFFF" w:themeFill="background1"/>
              <w:jc w:val="center"/>
            </w:pPr>
            <w:r w:rsidRPr="00052AAB">
              <w:t>5</w:t>
            </w:r>
          </w:p>
        </w:tc>
      </w:tr>
      <w:tr w:rsidR="000774EB" w:rsidRPr="00052AAB" w14:paraId="4E696D1D" w14:textId="77777777" w:rsidTr="000774EB">
        <w:trPr>
          <w:jc w:val="center"/>
        </w:trPr>
        <w:tc>
          <w:tcPr>
            <w:tcW w:w="3635" w:type="dxa"/>
          </w:tcPr>
          <w:p w14:paraId="11D12390" w14:textId="4C9839D3" w:rsidR="000774EB" w:rsidRPr="00052AAB" w:rsidRDefault="00B01075" w:rsidP="00052AAB">
            <w:pPr>
              <w:shd w:val="clear" w:color="auto" w:fill="FFFFFF" w:themeFill="background1"/>
            </w:pPr>
            <w:r w:rsidRPr="00052AAB">
              <w:t>Yönetim Bilişim Sistemleri</w:t>
            </w:r>
          </w:p>
        </w:tc>
        <w:tc>
          <w:tcPr>
            <w:tcW w:w="938" w:type="dxa"/>
          </w:tcPr>
          <w:p w14:paraId="1F4E16B1" w14:textId="0F7D2962" w:rsidR="000774EB" w:rsidRPr="00052AAB" w:rsidRDefault="000D1CB1" w:rsidP="00052AAB">
            <w:pPr>
              <w:shd w:val="clear" w:color="auto" w:fill="FFFFFF" w:themeFill="background1"/>
              <w:jc w:val="center"/>
            </w:pPr>
            <w:r>
              <w:t>150</w:t>
            </w:r>
          </w:p>
        </w:tc>
        <w:tc>
          <w:tcPr>
            <w:tcW w:w="926" w:type="dxa"/>
          </w:tcPr>
          <w:p w14:paraId="11C953CE" w14:textId="54D2B093" w:rsidR="000774EB" w:rsidRPr="00052AAB" w:rsidRDefault="000774EB" w:rsidP="00052AAB">
            <w:pPr>
              <w:shd w:val="clear" w:color="auto" w:fill="FFFFFF" w:themeFill="background1"/>
              <w:jc w:val="center"/>
            </w:pPr>
            <w:r w:rsidRPr="00052AAB">
              <w:t>240</w:t>
            </w:r>
          </w:p>
        </w:tc>
        <w:tc>
          <w:tcPr>
            <w:tcW w:w="1343" w:type="dxa"/>
            <w:vAlign w:val="center"/>
          </w:tcPr>
          <w:p w14:paraId="73A0AE98" w14:textId="26010254" w:rsidR="000774EB" w:rsidRPr="00052AAB" w:rsidRDefault="00B01075" w:rsidP="00052AAB">
            <w:pPr>
              <w:shd w:val="clear" w:color="auto" w:fill="FFFFFF" w:themeFill="background1"/>
              <w:jc w:val="center"/>
            </w:pPr>
            <w:r w:rsidRPr="00052AAB">
              <w:t>20,0</w:t>
            </w:r>
          </w:p>
        </w:tc>
        <w:tc>
          <w:tcPr>
            <w:tcW w:w="1627" w:type="dxa"/>
          </w:tcPr>
          <w:p w14:paraId="7656F63A" w14:textId="21EF6383" w:rsidR="000774EB" w:rsidRPr="00052AAB" w:rsidRDefault="00B01075" w:rsidP="00052AAB">
            <w:pPr>
              <w:shd w:val="clear" w:color="auto" w:fill="FFFFFF" w:themeFill="background1"/>
              <w:jc w:val="center"/>
              <w:rPr>
                <w:b/>
              </w:rPr>
            </w:pPr>
            <w:r w:rsidRPr="00052AAB">
              <w:rPr>
                <w:b/>
              </w:rPr>
              <w:t>13,03</w:t>
            </w:r>
          </w:p>
        </w:tc>
        <w:tc>
          <w:tcPr>
            <w:tcW w:w="1280" w:type="dxa"/>
            <w:vAlign w:val="center"/>
          </w:tcPr>
          <w:p w14:paraId="0130F667" w14:textId="2E38657C" w:rsidR="000774EB" w:rsidRPr="00052AAB" w:rsidRDefault="007D58F9" w:rsidP="00052AAB">
            <w:pPr>
              <w:shd w:val="clear" w:color="auto" w:fill="FFFFFF" w:themeFill="background1"/>
              <w:jc w:val="center"/>
            </w:pPr>
            <w:r w:rsidRPr="00052AAB">
              <w:t>5</w:t>
            </w:r>
          </w:p>
        </w:tc>
      </w:tr>
    </w:tbl>
    <w:p w14:paraId="3CB82484" w14:textId="77777777" w:rsidR="00917DF7" w:rsidRPr="00052AAB" w:rsidRDefault="008511D6" w:rsidP="00052AAB">
      <w:pPr>
        <w:shd w:val="clear" w:color="auto" w:fill="FFFFFF" w:themeFill="background1"/>
        <w:ind w:firstLine="567"/>
        <w:jc w:val="both"/>
        <w:rPr>
          <w:b/>
        </w:rPr>
      </w:pPr>
      <w:r w:rsidRPr="00052AAB">
        <w:rPr>
          <w:b/>
        </w:rPr>
        <w:t>Sınavlar</w:t>
      </w:r>
      <w:r w:rsidR="003062DB" w:rsidRPr="00052AAB">
        <w:rPr>
          <w:b/>
        </w:rPr>
        <w:t xml:space="preserve"> </w:t>
      </w:r>
    </w:p>
    <w:p w14:paraId="7F5D9FC2" w14:textId="5066B238" w:rsidR="00917DF7" w:rsidRPr="002B2BBD" w:rsidRDefault="008511D6" w:rsidP="00052AAB">
      <w:pPr>
        <w:shd w:val="clear" w:color="auto" w:fill="FFFFFF" w:themeFill="background1"/>
        <w:tabs>
          <w:tab w:val="left" w:leader="dot" w:pos="4877"/>
        </w:tabs>
        <w:ind w:firstLine="567"/>
        <w:jc w:val="both"/>
      </w:pPr>
      <w:r w:rsidRPr="002B2BBD">
        <w:rPr>
          <w:b/>
        </w:rPr>
        <w:t xml:space="preserve">MADDE </w:t>
      </w:r>
      <w:r w:rsidR="003E5C4F" w:rsidRPr="002B2BBD">
        <w:rPr>
          <w:b/>
        </w:rPr>
        <w:t>5</w:t>
      </w:r>
      <w:r w:rsidRPr="002B2BBD">
        <w:rPr>
          <w:b/>
        </w:rPr>
        <w:t xml:space="preserve"> </w:t>
      </w:r>
      <w:r w:rsidR="009607FF" w:rsidRPr="002B2BBD">
        <w:rPr>
          <w:b/>
        </w:rPr>
        <w:t>–</w:t>
      </w:r>
      <w:r w:rsidRPr="002B2BBD">
        <w:t xml:space="preserve"> </w:t>
      </w:r>
      <w:r w:rsidR="00B14F8E" w:rsidRPr="002B2BBD">
        <w:t>(</w:t>
      </w:r>
      <w:r w:rsidR="00D8156F" w:rsidRPr="002B2BBD">
        <w:t>1</w:t>
      </w:r>
      <w:r w:rsidR="00B14F8E" w:rsidRPr="002B2BBD">
        <w:t xml:space="preserve">) Her ders için yarıyılda </w:t>
      </w:r>
      <w:r w:rsidR="002946EC" w:rsidRPr="002B2BBD">
        <w:rPr>
          <w:b/>
        </w:rPr>
        <w:t>1 (bir)</w:t>
      </w:r>
      <w:r w:rsidR="009A36CD" w:rsidRPr="002B2BBD">
        <w:rPr>
          <w:b/>
        </w:rPr>
        <w:t xml:space="preserve"> </w:t>
      </w:r>
      <w:r w:rsidR="00A47597" w:rsidRPr="002B2BBD">
        <w:rPr>
          <w:b/>
        </w:rPr>
        <w:t xml:space="preserve">ara </w:t>
      </w:r>
      <w:r w:rsidR="00B14F8E" w:rsidRPr="002B2BBD">
        <w:t>sınav</w:t>
      </w:r>
      <w:r w:rsidR="00AE2733" w:rsidRPr="002B2BBD">
        <w:t xml:space="preserve"> (vize)</w:t>
      </w:r>
      <w:r w:rsidR="00B14F8E" w:rsidRPr="002B2BBD">
        <w:t xml:space="preserve"> yapılır.</w:t>
      </w:r>
    </w:p>
    <w:p w14:paraId="45C6E471" w14:textId="476F4227" w:rsidR="00AC7B07" w:rsidRPr="00052AAB" w:rsidRDefault="00B14F8E" w:rsidP="00052AAB">
      <w:pPr>
        <w:shd w:val="clear" w:color="auto" w:fill="FFFFFF" w:themeFill="background1"/>
        <w:tabs>
          <w:tab w:val="left" w:leader="dot" w:pos="3326"/>
          <w:tab w:val="left" w:leader="dot" w:pos="6994"/>
        </w:tabs>
        <w:ind w:firstLine="567"/>
        <w:jc w:val="both"/>
      </w:pPr>
      <w:r w:rsidRPr="00052AAB">
        <w:t>(</w:t>
      </w:r>
      <w:r w:rsidR="002946EC" w:rsidRPr="00052AAB">
        <w:t>2</w:t>
      </w:r>
      <w:r w:rsidRPr="00052AAB">
        <w:t>) Derslerin şube veya gruplar halinde yapılması durumunda, sınavlar ve değerlendirmeler</w:t>
      </w:r>
      <w:r w:rsidR="00D8156F" w:rsidRPr="00052AAB">
        <w:t xml:space="preserve"> </w:t>
      </w:r>
      <w:r w:rsidR="00D8156F" w:rsidRPr="00052AAB">
        <w:rPr>
          <w:b/>
        </w:rPr>
        <w:t>ayrı</w:t>
      </w:r>
      <w:r w:rsidR="00D9725A" w:rsidRPr="00052AAB">
        <w:t xml:space="preserve"> yapılır.</w:t>
      </w:r>
    </w:p>
    <w:p w14:paraId="7A368C67" w14:textId="77777777" w:rsidR="00917DF7" w:rsidRPr="00344FA2" w:rsidRDefault="00D8156F" w:rsidP="00052AAB">
      <w:pPr>
        <w:shd w:val="clear" w:color="auto" w:fill="FFFFFF" w:themeFill="background1"/>
        <w:ind w:firstLine="567"/>
        <w:jc w:val="both"/>
        <w:rPr>
          <w:b/>
        </w:rPr>
      </w:pPr>
      <w:r w:rsidRPr="00344FA2">
        <w:rPr>
          <w:b/>
        </w:rPr>
        <w:t xml:space="preserve">Başarı notu </w:t>
      </w:r>
      <w:r w:rsidR="00AC7B07" w:rsidRPr="00344FA2">
        <w:rPr>
          <w:b/>
        </w:rPr>
        <w:t>ve hesaplanması</w:t>
      </w:r>
    </w:p>
    <w:p w14:paraId="365E8014" w14:textId="54FE9F96" w:rsidR="005E72D7" w:rsidRPr="00344FA2" w:rsidRDefault="00F47A51" w:rsidP="00F47A51">
      <w:pPr>
        <w:shd w:val="clear" w:color="auto" w:fill="FFFFFF" w:themeFill="background1"/>
        <w:tabs>
          <w:tab w:val="left" w:leader="dot" w:pos="3326"/>
          <w:tab w:val="left" w:leader="dot" w:pos="6994"/>
        </w:tabs>
        <w:ind w:firstLine="567"/>
        <w:jc w:val="both"/>
      </w:pPr>
      <w:r w:rsidRPr="00344FA2">
        <w:rPr>
          <w:b/>
        </w:rPr>
        <w:t>MADDE 6</w:t>
      </w:r>
      <w:r w:rsidRPr="00344FA2">
        <w:t xml:space="preserve"> – (1) Bir derse ait ham notun hesaplanmasında;</w:t>
      </w:r>
    </w:p>
    <w:p w14:paraId="7326D36E" w14:textId="1B63A0AA" w:rsidR="00556449" w:rsidRPr="00344FA2" w:rsidRDefault="00556449" w:rsidP="00556449">
      <w:pPr>
        <w:pStyle w:val="ListeParagraf"/>
        <w:numPr>
          <w:ilvl w:val="0"/>
          <w:numId w:val="3"/>
        </w:numPr>
        <w:shd w:val="clear" w:color="auto" w:fill="FFFFFF" w:themeFill="background1"/>
        <w:tabs>
          <w:tab w:val="left" w:leader="dot" w:pos="3326"/>
          <w:tab w:val="left" w:leader="dot" w:pos="6994"/>
        </w:tabs>
        <w:jc w:val="both"/>
      </w:pPr>
      <w:r w:rsidRPr="00344FA2">
        <w:t>Bir öğrencinin ham başarı notu dönem içi ölçme değerlendirme etkinlikleri ve yarıyıl sonu final/(varsa) bütünleme sınavları ile belirlenir.</w:t>
      </w:r>
    </w:p>
    <w:p w14:paraId="6185DED8" w14:textId="36E65E64" w:rsidR="005E72D7" w:rsidRPr="00344FA2" w:rsidRDefault="005E72D7" w:rsidP="005E72D7">
      <w:pPr>
        <w:pStyle w:val="ListeParagraf"/>
        <w:numPr>
          <w:ilvl w:val="0"/>
          <w:numId w:val="3"/>
        </w:numPr>
        <w:shd w:val="clear" w:color="auto" w:fill="FFFFFF" w:themeFill="background1"/>
        <w:tabs>
          <w:tab w:val="left" w:leader="dot" w:pos="3326"/>
          <w:tab w:val="left" w:leader="dot" w:pos="6994"/>
        </w:tabs>
        <w:jc w:val="both"/>
      </w:pPr>
      <w:r w:rsidRPr="00344FA2">
        <w:t>A</w:t>
      </w:r>
      <w:r w:rsidR="00F47A51" w:rsidRPr="00344FA2">
        <w:t xml:space="preserve">ra sınav </w:t>
      </w:r>
      <w:r w:rsidRPr="00344FA2">
        <w:t xml:space="preserve">dahil dönem içi tüm ölçme değerlendirme </w:t>
      </w:r>
      <w:r w:rsidR="00A06CBA" w:rsidRPr="00344FA2">
        <w:t>etkinliklerinin</w:t>
      </w:r>
      <w:r w:rsidRPr="00344FA2">
        <w:t xml:space="preserve"> toplam</w:t>
      </w:r>
      <w:r w:rsidR="00F47A51" w:rsidRPr="00344FA2">
        <w:t xml:space="preserve"> etkisi </w:t>
      </w:r>
      <w:r w:rsidR="00F47A51" w:rsidRPr="00344FA2">
        <w:rPr>
          <w:b/>
        </w:rPr>
        <w:t>%50</w:t>
      </w:r>
      <w:r w:rsidRPr="00344FA2">
        <w:rPr>
          <w:b/>
        </w:rPr>
        <w:t xml:space="preserve">, </w:t>
      </w:r>
      <w:r w:rsidR="00F47A51" w:rsidRPr="00344FA2">
        <w:t>yarıyıl sonu</w:t>
      </w:r>
      <w:r w:rsidR="00DE2C98" w:rsidRPr="00344FA2">
        <w:t xml:space="preserve"> /</w:t>
      </w:r>
      <w:r w:rsidRPr="00344FA2">
        <w:t xml:space="preserve"> </w:t>
      </w:r>
      <w:r w:rsidR="00F47A51" w:rsidRPr="00344FA2">
        <w:t xml:space="preserve">bütünleme sınavının etkisi </w:t>
      </w:r>
      <w:r w:rsidR="00F47A51" w:rsidRPr="00344FA2">
        <w:rPr>
          <w:b/>
        </w:rPr>
        <w:t>%50’</w:t>
      </w:r>
      <w:r w:rsidR="00F47A51" w:rsidRPr="00344FA2">
        <w:t>dir.</w:t>
      </w:r>
      <w:r w:rsidRPr="00344FA2">
        <w:t xml:space="preserve"> </w:t>
      </w:r>
    </w:p>
    <w:p w14:paraId="7FD6CFC7" w14:textId="56908514" w:rsidR="00F47A51" w:rsidRPr="00344FA2" w:rsidRDefault="005E72D7" w:rsidP="00BB2EC7">
      <w:pPr>
        <w:pStyle w:val="ListeParagraf"/>
        <w:numPr>
          <w:ilvl w:val="0"/>
          <w:numId w:val="3"/>
        </w:numPr>
        <w:shd w:val="clear" w:color="auto" w:fill="FFFFFF" w:themeFill="background1"/>
        <w:tabs>
          <w:tab w:val="left" w:leader="dot" w:pos="3326"/>
          <w:tab w:val="left" w:leader="dot" w:pos="6994"/>
        </w:tabs>
        <w:jc w:val="both"/>
      </w:pPr>
      <w:r w:rsidRPr="00344FA2">
        <w:t>Dönem içi ölçme değerlendirme; takvimi</w:t>
      </w:r>
      <w:r w:rsidR="00DE2C98" w:rsidRPr="00344FA2">
        <w:t xml:space="preserve"> </w:t>
      </w:r>
      <w:r w:rsidR="00A06CBA" w:rsidRPr="00344FA2">
        <w:t>Dekanlık</w:t>
      </w:r>
      <w:r w:rsidRPr="00344FA2">
        <w:t xml:space="preserve"> tarafından belirlenen </w:t>
      </w:r>
      <w:bookmarkStart w:id="0" w:name="_GoBack"/>
      <w:bookmarkEnd w:id="0"/>
      <w:r w:rsidR="007968B9" w:rsidRPr="00344FA2">
        <w:t xml:space="preserve">ve ilan edilen </w:t>
      </w:r>
      <w:r w:rsidR="00A06CBA" w:rsidRPr="00344FA2">
        <w:t xml:space="preserve">1 (bir) </w:t>
      </w:r>
      <w:r w:rsidRPr="00344FA2">
        <w:t xml:space="preserve">ara sınav olmak üzere </w:t>
      </w:r>
      <w:r w:rsidR="004826D0" w:rsidRPr="00344FA2">
        <w:t xml:space="preserve">en az </w:t>
      </w:r>
      <w:r w:rsidRPr="00344FA2">
        <w:t>3 (üç)</w:t>
      </w:r>
      <w:r w:rsidR="00DE2C98" w:rsidRPr="00344FA2">
        <w:t>,</w:t>
      </w:r>
      <w:r w:rsidRPr="00344FA2">
        <w:t xml:space="preserve"> </w:t>
      </w:r>
      <w:r w:rsidR="009A3FCD" w:rsidRPr="00344FA2">
        <w:t xml:space="preserve">en çok (5) </w:t>
      </w:r>
      <w:r w:rsidRPr="00344FA2">
        <w:t>ölçme değerlendirm</w:t>
      </w:r>
      <w:r w:rsidR="004826D0" w:rsidRPr="00344FA2">
        <w:t xml:space="preserve">e </w:t>
      </w:r>
      <w:r w:rsidR="009A3FCD" w:rsidRPr="00344FA2">
        <w:t>etkinliğinden</w:t>
      </w:r>
      <w:r w:rsidR="00DE2C98" w:rsidRPr="00344FA2">
        <w:t xml:space="preserve"> </w:t>
      </w:r>
      <w:r w:rsidR="004826D0" w:rsidRPr="00344FA2">
        <w:t>oluşur.</w:t>
      </w:r>
    </w:p>
    <w:p w14:paraId="73D57E48" w14:textId="132B5B62" w:rsidR="004826D0" w:rsidRPr="00344FA2" w:rsidRDefault="00DE2C98" w:rsidP="00426E84">
      <w:pPr>
        <w:pStyle w:val="ListeParagraf"/>
        <w:numPr>
          <w:ilvl w:val="0"/>
          <w:numId w:val="3"/>
        </w:numPr>
        <w:shd w:val="clear" w:color="auto" w:fill="FFFFFF" w:themeFill="background1"/>
        <w:tabs>
          <w:tab w:val="left" w:leader="dot" w:pos="3326"/>
          <w:tab w:val="left" w:leader="dot" w:pos="6994"/>
        </w:tabs>
        <w:jc w:val="both"/>
      </w:pPr>
      <w:r w:rsidRPr="00344FA2">
        <w:t>Ara sınavın ağırlığı en az %20 en çok %30</w:t>
      </w:r>
      <w:r w:rsidR="00E05B54" w:rsidRPr="00344FA2">
        <w:t>’dur. A</w:t>
      </w:r>
      <w:r w:rsidR="004826D0" w:rsidRPr="00344FA2">
        <w:t xml:space="preserve">ra sınav dışında kalan ölçme değerlendirme </w:t>
      </w:r>
      <w:r w:rsidRPr="00344FA2">
        <w:t>etkinliklerinin</w:t>
      </w:r>
      <w:r w:rsidR="004826D0" w:rsidRPr="00344FA2">
        <w:t xml:space="preserve"> (kısa sınav, araştırma ödevi, proje, akran eğitimi, video kayıt ödevi, saha ödevi, tartışma, vb.) </w:t>
      </w:r>
      <w:r w:rsidRPr="00344FA2">
        <w:t>türü</w:t>
      </w:r>
      <w:r w:rsidR="004826D0" w:rsidRPr="00344FA2">
        <w:t xml:space="preserve"> </w:t>
      </w:r>
      <w:r w:rsidRPr="00344FA2">
        <w:t xml:space="preserve">ve ağırlığı </w:t>
      </w:r>
      <w:r w:rsidR="004826D0" w:rsidRPr="00344FA2">
        <w:t xml:space="preserve">dersin öğretim elemanı </w:t>
      </w:r>
      <w:r w:rsidR="00E05B54" w:rsidRPr="00344FA2">
        <w:t>tarafından</w:t>
      </w:r>
      <w:r w:rsidR="004826D0" w:rsidRPr="00344FA2">
        <w:t xml:space="preserve"> belirlenir.</w:t>
      </w:r>
    </w:p>
    <w:p w14:paraId="4DE45622" w14:textId="2104F7A0" w:rsidR="00F47A51" w:rsidRPr="00344FA2" w:rsidRDefault="004826D0" w:rsidP="00344FA2">
      <w:pPr>
        <w:pStyle w:val="ListeParagraf"/>
        <w:numPr>
          <w:ilvl w:val="0"/>
          <w:numId w:val="3"/>
        </w:numPr>
        <w:shd w:val="clear" w:color="auto" w:fill="FFFFFF" w:themeFill="background1"/>
        <w:tabs>
          <w:tab w:val="left" w:leader="dot" w:pos="3326"/>
          <w:tab w:val="left" w:leader="dot" w:pos="6994"/>
        </w:tabs>
        <w:jc w:val="both"/>
      </w:pPr>
      <w:r w:rsidRPr="00344FA2">
        <w:t xml:space="preserve">Her bir ölçme değerlendirme faaliyetinin </w:t>
      </w:r>
      <w:r w:rsidR="00B47810" w:rsidRPr="00344FA2">
        <w:t>türü</w:t>
      </w:r>
      <w:r w:rsidRPr="00344FA2">
        <w:t xml:space="preserve"> ve başarı notuna etkisi dönem başında, </w:t>
      </w:r>
      <w:r w:rsidR="00804595" w:rsidRPr="00344FA2">
        <w:t xml:space="preserve">ders bilgi paketi ve/veya </w:t>
      </w:r>
      <w:r w:rsidRPr="00344FA2">
        <w:t xml:space="preserve">ders </w:t>
      </w:r>
      <w:r w:rsidR="00EB2DEB" w:rsidRPr="00344FA2">
        <w:t>izlencesinde</w:t>
      </w:r>
      <w:r w:rsidRPr="00344FA2">
        <w:t xml:space="preserve"> ilan edilir.</w:t>
      </w:r>
    </w:p>
    <w:p w14:paraId="5A231018" w14:textId="77777777" w:rsidR="00917DF7" w:rsidRPr="00052AAB" w:rsidRDefault="00053AB5" w:rsidP="00052AAB">
      <w:pPr>
        <w:shd w:val="clear" w:color="auto" w:fill="FFFFFF" w:themeFill="background1"/>
        <w:tabs>
          <w:tab w:val="left" w:leader="dot" w:pos="3326"/>
          <w:tab w:val="left" w:leader="dot" w:pos="6994"/>
        </w:tabs>
        <w:ind w:firstLine="567"/>
        <w:jc w:val="both"/>
      </w:pPr>
      <w:r w:rsidRPr="00052AAB">
        <w:t>(2) Öğrencilerin başarı notunun hesaplanmasında bağıl değerlendirme sistemi uygulanır.</w:t>
      </w:r>
    </w:p>
    <w:p w14:paraId="0E2D3F30" w14:textId="77777777" w:rsidR="00917DF7" w:rsidRPr="00052AAB" w:rsidRDefault="00053AB5" w:rsidP="00052AAB">
      <w:pPr>
        <w:shd w:val="clear" w:color="auto" w:fill="FFFFFF" w:themeFill="background1"/>
        <w:tabs>
          <w:tab w:val="left" w:leader="dot" w:pos="3326"/>
          <w:tab w:val="left" w:leader="dot" w:pos="6994"/>
        </w:tabs>
        <w:ind w:firstLine="567"/>
        <w:jc w:val="both"/>
      </w:pPr>
      <w:r w:rsidRPr="00052AAB">
        <w:t>(3) Bağıl değerlendirme sistemi aşağıdaki esaslara göre uygulanır;</w:t>
      </w:r>
    </w:p>
    <w:p w14:paraId="78DDDF70" w14:textId="65E00379" w:rsidR="00053AB5" w:rsidRPr="00052AAB" w:rsidRDefault="00053AB5" w:rsidP="00052AAB">
      <w:pPr>
        <w:shd w:val="clear" w:color="auto" w:fill="FFFFFF" w:themeFill="background1"/>
        <w:tabs>
          <w:tab w:val="left" w:leader="dot" w:pos="3326"/>
          <w:tab w:val="left" w:leader="dot" w:pos="6994"/>
        </w:tabs>
        <w:ind w:firstLine="567"/>
        <w:jc w:val="both"/>
      </w:pPr>
      <w:r w:rsidRPr="00052AAB">
        <w:t>a</w:t>
      </w:r>
      <w:r w:rsidR="00D9725A" w:rsidRPr="00052AAB">
        <w:t>) Ham Başarı Alt Limiti (HBAL)</w:t>
      </w:r>
      <w:r w:rsidR="00052AAB" w:rsidRPr="00052AAB">
        <w:t xml:space="preserve"> 50 </w:t>
      </w:r>
      <w:r w:rsidR="00444392" w:rsidRPr="00052AAB">
        <w:t>puan</w:t>
      </w:r>
      <w:r w:rsidRPr="00052AAB">
        <w:t xml:space="preserve">dır. Ham başarı puanları </w:t>
      </w:r>
      <w:proofErr w:type="spellStart"/>
      <w:r w:rsidRPr="00052AAB">
        <w:t>HBAL’nin</w:t>
      </w:r>
      <w:proofErr w:type="spellEnd"/>
      <w:r w:rsidRPr="00052AAB">
        <w:t xml:space="preserve"> altında kalan öğrenciler başarısız sayılarak FF notu ile değerlendirilir.</w:t>
      </w:r>
    </w:p>
    <w:p w14:paraId="7A91AE67" w14:textId="5068C7FA" w:rsidR="004B1C0D" w:rsidRPr="00052AAB" w:rsidRDefault="00053AB5" w:rsidP="00052AAB">
      <w:pPr>
        <w:shd w:val="clear" w:color="auto" w:fill="FFFFFF" w:themeFill="background1"/>
        <w:tabs>
          <w:tab w:val="left" w:leader="dot" w:pos="3326"/>
          <w:tab w:val="left" w:leader="dot" w:pos="6994"/>
        </w:tabs>
        <w:ind w:firstLine="567"/>
        <w:jc w:val="both"/>
      </w:pPr>
      <w:r w:rsidRPr="00052AAB">
        <w:t>b) Yarıyıl</w:t>
      </w:r>
      <w:r w:rsidR="00444392" w:rsidRPr="00052AAB">
        <w:t xml:space="preserve"> </w:t>
      </w:r>
      <w:r w:rsidRPr="00052AAB">
        <w:t xml:space="preserve">Sonu Sınav Limiti (YSSL) uygulaması </w:t>
      </w:r>
      <w:r w:rsidR="004B1C0D" w:rsidRPr="00052AAB">
        <w:rPr>
          <w:b/>
        </w:rPr>
        <w:t>yapılmaz</w:t>
      </w:r>
      <w:r w:rsidR="004B1C0D" w:rsidRPr="00052AAB">
        <w:t>.</w:t>
      </w:r>
    </w:p>
    <w:p w14:paraId="4235DBC8" w14:textId="6AC96422" w:rsidR="001202AA" w:rsidRPr="00052AAB" w:rsidRDefault="001202AA" w:rsidP="00052AAB">
      <w:pPr>
        <w:shd w:val="clear" w:color="auto" w:fill="FFFFFF" w:themeFill="background1"/>
        <w:ind w:firstLine="567"/>
        <w:jc w:val="both"/>
      </w:pPr>
      <w:r w:rsidRPr="00052AAB">
        <w:rPr>
          <w:color w:val="000000"/>
          <w:lang w:bidi="ar-SA"/>
        </w:rPr>
        <w:t xml:space="preserve">(4) Başarı notu ve hesaplanması ile ilgili uygulamalar </w:t>
      </w:r>
      <w:r w:rsidRPr="00052AAB">
        <w:t>öğrencinin kayıtlı olduğu müfredat yılı bilgilerine bağlı olarak yapılır.</w:t>
      </w:r>
    </w:p>
    <w:p w14:paraId="74822744" w14:textId="77777777" w:rsidR="00917DF7" w:rsidRPr="00052AAB" w:rsidRDefault="00D9725A" w:rsidP="00052AAB">
      <w:pPr>
        <w:pStyle w:val="3-normalyaz"/>
        <w:shd w:val="clear" w:color="auto" w:fill="FFFFFF" w:themeFill="background1"/>
        <w:ind w:firstLine="567"/>
        <w:rPr>
          <w:b/>
          <w:sz w:val="20"/>
          <w:szCs w:val="20"/>
        </w:rPr>
      </w:pPr>
      <w:r w:rsidRPr="00052AAB">
        <w:rPr>
          <w:b/>
          <w:sz w:val="20"/>
          <w:szCs w:val="20"/>
        </w:rPr>
        <w:t>Hüküm bulunmayan haller</w:t>
      </w:r>
    </w:p>
    <w:p w14:paraId="402952EA" w14:textId="76CB1881" w:rsidR="0067102D" w:rsidRPr="00052AAB" w:rsidRDefault="00CC52DD" w:rsidP="00052AAB">
      <w:pPr>
        <w:pStyle w:val="3-normalyaz"/>
        <w:shd w:val="clear" w:color="auto" w:fill="FFFFFF" w:themeFill="background1"/>
        <w:ind w:firstLine="567"/>
        <w:rPr>
          <w:sz w:val="20"/>
          <w:szCs w:val="20"/>
        </w:rPr>
      </w:pPr>
      <w:r w:rsidRPr="00052AAB">
        <w:rPr>
          <w:b/>
          <w:sz w:val="20"/>
          <w:szCs w:val="20"/>
        </w:rPr>
        <w:t xml:space="preserve">MADDE </w:t>
      </w:r>
      <w:r w:rsidR="003E5C4F" w:rsidRPr="00052AAB">
        <w:rPr>
          <w:b/>
          <w:sz w:val="20"/>
          <w:szCs w:val="20"/>
        </w:rPr>
        <w:t>7</w:t>
      </w:r>
      <w:r w:rsidRPr="00052AAB">
        <w:rPr>
          <w:b/>
          <w:sz w:val="20"/>
          <w:szCs w:val="20"/>
        </w:rPr>
        <w:t>-</w:t>
      </w:r>
      <w:r w:rsidRPr="00052AAB">
        <w:rPr>
          <w:sz w:val="20"/>
          <w:szCs w:val="20"/>
        </w:rPr>
        <w:t xml:space="preserve"> (1) </w:t>
      </w:r>
      <w:r w:rsidR="00E276CD" w:rsidRPr="00052AAB">
        <w:rPr>
          <w:sz w:val="20"/>
          <w:szCs w:val="20"/>
        </w:rPr>
        <w:t>Bu uygulama esaslarında hüküm bulunmayan hallerde, ilgili mevzuat hükümlerine aykırı olmamak şartı ile karar almaya Yönetim Kurulu yetkilidir.</w:t>
      </w:r>
    </w:p>
    <w:p w14:paraId="71AE50DE" w14:textId="3F7AD8DD" w:rsidR="00041BF6" w:rsidRPr="00052AAB" w:rsidRDefault="001B67E3" w:rsidP="00052AAB">
      <w:pPr>
        <w:shd w:val="clear" w:color="auto" w:fill="FFFFFF" w:themeFill="background1"/>
        <w:ind w:firstLine="567"/>
        <w:jc w:val="both"/>
      </w:pPr>
      <w:r w:rsidRPr="00052AAB">
        <w:rPr>
          <w:b/>
          <w:bCs/>
          <w:color w:val="000000"/>
          <w:lang w:bidi="ar-SA"/>
        </w:rPr>
        <w:lastRenderedPageBreak/>
        <w:t>GEÇİCİ MADDE 1 – </w:t>
      </w:r>
      <w:r w:rsidRPr="00052AAB">
        <w:rPr>
          <w:color w:val="000000"/>
          <w:lang w:bidi="ar-SA"/>
        </w:rPr>
        <w:t>(1) Bu Uygulama Esasları</w:t>
      </w:r>
      <w:r w:rsidR="00A3003F" w:rsidRPr="00052AAB">
        <w:rPr>
          <w:color w:val="000000"/>
          <w:lang w:bidi="ar-SA"/>
        </w:rPr>
        <w:t xml:space="preserve"> ekinde yer alan </w:t>
      </w:r>
      <w:r w:rsidR="00041BF6" w:rsidRPr="00052AAB">
        <w:t xml:space="preserve">lisans ders (müfredat) programları </w:t>
      </w:r>
      <w:r w:rsidR="001202AA" w:rsidRPr="00052AAB">
        <w:t xml:space="preserve">ilgili </w:t>
      </w:r>
      <w:r w:rsidR="00041BF6" w:rsidRPr="00052AAB">
        <w:t>program</w:t>
      </w:r>
      <w:r w:rsidR="001202AA" w:rsidRPr="00052AAB">
        <w:t>a</w:t>
      </w:r>
      <w:r w:rsidR="00041BF6" w:rsidRPr="00052AAB">
        <w:t xml:space="preserve"> kayıtlı tüm öğrenciler için uygulanır.</w:t>
      </w:r>
    </w:p>
    <w:p w14:paraId="453FE98C" w14:textId="2DD7C842" w:rsidR="00041BF6" w:rsidRPr="00052AAB" w:rsidRDefault="00041BF6" w:rsidP="00052AAB">
      <w:pPr>
        <w:shd w:val="clear" w:color="auto" w:fill="FFFFFF" w:themeFill="background1"/>
        <w:ind w:firstLine="567"/>
        <w:jc w:val="both"/>
      </w:pPr>
      <w:r w:rsidRPr="00052AAB">
        <w:t xml:space="preserve">(2) 2022-2023 eğitim-öğretim yılından itibaren uygulanacak olan ders (müfredat) programlarına öğrencilerin intibak ve muafiyet işlemleri </w:t>
      </w:r>
      <w:r w:rsidR="00513314" w:rsidRPr="00052AAB">
        <w:t>Y</w:t>
      </w:r>
      <w:r w:rsidRPr="00052AAB">
        <w:t xml:space="preserve">önetim </w:t>
      </w:r>
      <w:r w:rsidR="00513314" w:rsidRPr="00052AAB">
        <w:t>K</w:t>
      </w:r>
      <w:r w:rsidRPr="00052AAB">
        <w:t>urulu kararına bağlı olarak yapılır.</w:t>
      </w:r>
    </w:p>
    <w:p w14:paraId="486D00D2" w14:textId="77777777" w:rsidR="00917DF7" w:rsidRPr="00052AAB" w:rsidRDefault="00CC52DD" w:rsidP="00052AAB">
      <w:pPr>
        <w:pStyle w:val="3-normalyaz"/>
        <w:shd w:val="clear" w:color="auto" w:fill="FFFFFF" w:themeFill="background1"/>
        <w:ind w:firstLine="567"/>
        <w:rPr>
          <w:b/>
          <w:sz w:val="20"/>
          <w:szCs w:val="20"/>
        </w:rPr>
      </w:pPr>
      <w:r w:rsidRPr="00052AAB">
        <w:rPr>
          <w:b/>
          <w:sz w:val="20"/>
          <w:szCs w:val="20"/>
        </w:rPr>
        <w:t>Yürürlük</w:t>
      </w:r>
    </w:p>
    <w:p w14:paraId="18C54684" w14:textId="724EE303" w:rsidR="00ED4685" w:rsidRPr="00052AAB" w:rsidRDefault="00CC52DD" w:rsidP="00052AAB">
      <w:pPr>
        <w:pStyle w:val="3-normalyaz"/>
        <w:shd w:val="clear" w:color="auto" w:fill="FFFFFF" w:themeFill="background1"/>
        <w:ind w:firstLine="567"/>
        <w:rPr>
          <w:sz w:val="20"/>
          <w:szCs w:val="20"/>
        </w:rPr>
      </w:pPr>
      <w:r w:rsidRPr="00052AAB">
        <w:rPr>
          <w:b/>
          <w:sz w:val="20"/>
          <w:szCs w:val="20"/>
        </w:rPr>
        <w:t xml:space="preserve">MADDE </w:t>
      </w:r>
      <w:r w:rsidR="003E5C4F" w:rsidRPr="00052AAB">
        <w:rPr>
          <w:b/>
          <w:sz w:val="20"/>
          <w:szCs w:val="20"/>
        </w:rPr>
        <w:t>8</w:t>
      </w:r>
      <w:r w:rsidRPr="00052AAB">
        <w:rPr>
          <w:sz w:val="20"/>
          <w:szCs w:val="20"/>
        </w:rPr>
        <w:t xml:space="preserve">- (1) Bu </w:t>
      </w:r>
      <w:r w:rsidR="006B07EF" w:rsidRPr="00052AAB">
        <w:rPr>
          <w:sz w:val="20"/>
          <w:szCs w:val="20"/>
        </w:rPr>
        <w:t>uygulama esasları</w:t>
      </w:r>
      <w:r w:rsidRPr="00052AAB">
        <w:rPr>
          <w:sz w:val="20"/>
          <w:szCs w:val="20"/>
        </w:rPr>
        <w:t xml:space="preserve"> 20</w:t>
      </w:r>
      <w:r w:rsidR="009A36CD" w:rsidRPr="00052AAB">
        <w:rPr>
          <w:sz w:val="20"/>
          <w:szCs w:val="20"/>
        </w:rPr>
        <w:t>2</w:t>
      </w:r>
      <w:r w:rsidR="00C250F0" w:rsidRPr="00052AAB">
        <w:rPr>
          <w:sz w:val="20"/>
          <w:szCs w:val="20"/>
        </w:rPr>
        <w:t>3</w:t>
      </w:r>
      <w:r w:rsidRPr="00052AAB">
        <w:rPr>
          <w:sz w:val="20"/>
          <w:szCs w:val="20"/>
        </w:rPr>
        <w:t>-20</w:t>
      </w:r>
      <w:r w:rsidR="009A36CD" w:rsidRPr="00052AAB">
        <w:rPr>
          <w:sz w:val="20"/>
          <w:szCs w:val="20"/>
        </w:rPr>
        <w:t>2</w:t>
      </w:r>
      <w:r w:rsidR="00C250F0" w:rsidRPr="00052AAB">
        <w:rPr>
          <w:sz w:val="20"/>
          <w:szCs w:val="20"/>
        </w:rPr>
        <w:t>4</w:t>
      </w:r>
      <w:r w:rsidRPr="00052AAB">
        <w:rPr>
          <w:sz w:val="20"/>
          <w:szCs w:val="20"/>
        </w:rPr>
        <w:t xml:space="preserve"> </w:t>
      </w:r>
      <w:r w:rsidR="00447225" w:rsidRPr="00052AAB">
        <w:rPr>
          <w:sz w:val="20"/>
          <w:szCs w:val="20"/>
        </w:rPr>
        <w:t>eğitim-</w:t>
      </w:r>
      <w:r w:rsidRPr="00052AAB">
        <w:rPr>
          <w:sz w:val="20"/>
          <w:szCs w:val="20"/>
        </w:rPr>
        <w:t xml:space="preserve">öğretim yılından itibaren uygulanmak üzere </w:t>
      </w:r>
      <w:r w:rsidR="00597424" w:rsidRPr="00052AAB">
        <w:rPr>
          <w:sz w:val="20"/>
          <w:szCs w:val="20"/>
        </w:rPr>
        <w:t>Senato’</w:t>
      </w:r>
      <w:r w:rsidR="00F82CB7" w:rsidRPr="00052AAB">
        <w:rPr>
          <w:sz w:val="20"/>
          <w:szCs w:val="20"/>
        </w:rPr>
        <w:t xml:space="preserve">da kabul edildikten sonra </w:t>
      </w:r>
      <w:r w:rsidRPr="00052AAB">
        <w:rPr>
          <w:sz w:val="20"/>
          <w:szCs w:val="20"/>
        </w:rPr>
        <w:t>yürürlüğe girer.</w:t>
      </w:r>
    </w:p>
    <w:p w14:paraId="632F01B4" w14:textId="77777777" w:rsidR="00917DF7" w:rsidRPr="00052AAB" w:rsidRDefault="00CC52DD" w:rsidP="00052AAB">
      <w:pPr>
        <w:pStyle w:val="3-normalyaz"/>
        <w:shd w:val="clear" w:color="auto" w:fill="FFFFFF" w:themeFill="background1"/>
        <w:ind w:firstLine="567"/>
        <w:rPr>
          <w:b/>
          <w:sz w:val="20"/>
          <w:szCs w:val="20"/>
        </w:rPr>
      </w:pPr>
      <w:r w:rsidRPr="00052AAB">
        <w:rPr>
          <w:b/>
          <w:sz w:val="20"/>
          <w:szCs w:val="20"/>
        </w:rPr>
        <w:t>Yürütme</w:t>
      </w:r>
    </w:p>
    <w:p w14:paraId="38300ED1" w14:textId="4D1757E7" w:rsidR="007341FF" w:rsidRPr="00B01075" w:rsidRDefault="00CC52DD" w:rsidP="00052AAB">
      <w:pPr>
        <w:pStyle w:val="3-normalyaz"/>
        <w:shd w:val="clear" w:color="auto" w:fill="FFFFFF" w:themeFill="background1"/>
        <w:ind w:firstLine="567"/>
        <w:rPr>
          <w:sz w:val="20"/>
          <w:szCs w:val="20"/>
        </w:rPr>
      </w:pPr>
      <w:r w:rsidRPr="00052AAB">
        <w:rPr>
          <w:b/>
          <w:sz w:val="20"/>
          <w:szCs w:val="20"/>
        </w:rPr>
        <w:t>MADDE</w:t>
      </w:r>
      <w:r w:rsidR="00C36A32" w:rsidRPr="00052AAB">
        <w:rPr>
          <w:b/>
          <w:sz w:val="20"/>
          <w:szCs w:val="20"/>
        </w:rPr>
        <w:t xml:space="preserve"> </w:t>
      </w:r>
      <w:r w:rsidR="003E5C4F" w:rsidRPr="00052AAB">
        <w:rPr>
          <w:b/>
          <w:sz w:val="20"/>
          <w:szCs w:val="20"/>
        </w:rPr>
        <w:t>9</w:t>
      </w:r>
      <w:r w:rsidRPr="00052AAB">
        <w:rPr>
          <w:b/>
          <w:sz w:val="20"/>
          <w:szCs w:val="20"/>
        </w:rPr>
        <w:t xml:space="preserve"> -</w:t>
      </w:r>
      <w:r w:rsidRPr="00052AAB">
        <w:rPr>
          <w:sz w:val="20"/>
          <w:szCs w:val="20"/>
        </w:rPr>
        <w:t xml:space="preserve"> (1) Bu </w:t>
      </w:r>
      <w:r w:rsidR="006B07EF" w:rsidRPr="00052AAB">
        <w:rPr>
          <w:sz w:val="20"/>
          <w:szCs w:val="20"/>
        </w:rPr>
        <w:t>uygulama esasları</w:t>
      </w:r>
      <w:r w:rsidRPr="00052AAB">
        <w:rPr>
          <w:sz w:val="20"/>
          <w:szCs w:val="20"/>
        </w:rPr>
        <w:t xml:space="preserve"> hükümlerini Atatürk Üniversitesi</w:t>
      </w:r>
      <w:r w:rsidR="00722F44" w:rsidRPr="00052AAB">
        <w:rPr>
          <w:sz w:val="20"/>
          <w:szCs w:val="20"/>
        </w:rPr>
        <w:t xml:space="preserve"> </w:t>
      </w:r>
      <w:r w:rsidR="00B01075" w:rsidRPr="00052AAB">
        <w:rPr>
          <w:bCs/>
          <w:sz w:val="20"/>
          <w:szCs w:val="20"/>
        </w:rPr>
        <w:t>İktisadi ve İdari Bilimler</w:t>
      </w:r>
      <w:r w:rsidR="00722F44" w:rsidRPr="00052AAB">
        <w:rPr>
          <w:sz w:val="20"/>
          <w:szCs w:val="20"/>
        </w:rPr>
        <w:t xml:space="preserve"> </w:t>
      </w:r>
      <w:r w:rsidR="001751A1" w:rsidRPr="00052AAB">
        <w:rPr>
          <w:sz w:val="20"/>
          <w:szCs w:val="20"/>
        </w:rPr>
        <w:t xml:space="preserve">Dekanı </w:t>
      </w:r>
      <w:r w:rsidRPr="00052AAB">
        <w:rPr>
          <w:sz w:val="20"/>
          <w:szCs w:val="20"/>
        </w:rPr>
        <w:t>yürütür.</w:t>
      </w:r>
      <w:r w:rsidR="00566899" w:rsidRPr="00B01075">
        <w:rPr>
          <w:sz w:val="20"/>
          <w:szCs w:val="20"/>
        </w:rPr>
        <w:t xml:space="preserve"> </w:t>
      </w:r>
    </w:p>
    <w:sectPr w:rsidR="007341FF" w:rsidRPr="00B01075" w:rsidSect="00C15AD3">
      <w:type w:val="continuous"/>
      <w:pgSz w:w="11909" w:h="16834"/>
      <w:pgMar w:top="568" w:right="1134" w:bottom="851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2BA"/>
    <w:multiLevelType w:val="hybridMultilevel"/>
    <w:tmpl w:val="7D42EF52"/>
    <w:lvl w:ilvl="0" w:tplc="C91CBB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2C1DA4"/>
    <w:multiLevelType w:val="hybridMultilevel"/>
    <w:tmpl w:val="5CDE149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117D7"/>
    <w:multiLevelType w:val="hybridMultilevel"/>
    <w:tmpl w:val="445A80E6"/>
    <w:lvl w:ilvl="0" w:tplc="668449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CF"/>
    <w:rsid w:val="00000249"/>
    <w:rsid w:val="00012161"/>
    <w:rsid w:val="000309A9"/>
    <w:rsid w:val="00036170"/>
    <w:rsid w:val="00037DCA"/>
    <w:rsid w:val="00041BF6"/>
    <w:rsid w:val="00052AAB"/>
    <w:rsid w:val="00053AB5"/>
    <w:rsid w:val="00066C73"/>
    <w:rsid w:val="00072E47"/>
    <w:rsid w:val="000772CF"/>
    <w:rsid w:val="000774EB"/>
    <w:rsid w:val="000A06F9"/>
    <w:rsid w:val="000A3568"/>
    <w:rsid w:val="000B633A"/>
    <w:rsid w:val="000D0C9A"/>
    <w:rsid w:val="000D14DD"/>
    <w:rsid w:val="000D1B99"/>
    <w:rsid w:val="000D1CB1"/>
    <w:rsid w:val="000D6352"/>
    <w:rsid w:val="000E62A5"/>
    <w:rsid w:val="000F20D6"/>
    <w:rsid w:val="000F51C4"/>
    <w:rsid w:val="00100014"/>
    <w:rsid w:val="00101D49"/>
    <w:rsid w:val="001130CE"/>
    <w:rsid w:val="00113E25"/>
    <w:rsid w:val="001202AA"/>
    <w:rsid w:val="001252BF"/>
    <w:rsid w:val="0013337C"/>
    <w:rsid w:val="00143201"/>
    <w:rsid w:val="00146698"/>
    <w:rsid w:val="001751A1"/>
    <w:rsid w:val="00181784"/>
    <w:rsid w:val="001A39F7"/>
    <w:rsid w:val="001A5D39"/>
    <w:rsid w:val="001B67E3"/>
    <w:rsid w:val="001B709E"/>
    <w:rsid w:val="001B7FF5"/>
    <w:rsid w:val="001D463B"/>
    <w:rsid w:val="001D796D"/>
    <w:rsid w:val="001E72EE"/>
    <w:rsid w:val="001F508F"/>
    <w:rsid w:val="00205A6B"/>
    <w:rsid w:val="0020771B"/>
    <w:rsid w:val="00210452"/>
    <w:rsid w:val="002213DC"/>
    <w:rsid w:val="00223C7D"/>
    <w:rsid w:val="00233CED"/>
    <w:rsid w:val="002345F8"/>
    <w:rsid w:val="0023567F"/>
    <w:rsid w:val="00237C61"/>
    <w:rsid w:val="0024690D"/>
    <w:rsid w:val="00246F92"/>
    <w:rsid w:val="00257DD1"/>
    <w:rsid w:val="0027644A"/>
    <w:rsid w:val="00287955"/>
    <w:rsid w:val="002946EC"/>
    <w:rsid w:val="002A1B5A"/>
    <w:rsid w:val="002A7289"/>
    <w:rsid w:val="002B2BBD"/>
    <w:rsid w:val="002B774E"/>
    <w:rsid w:val="002D3FA9"/>
    <w:rsid w:val="002D45A7"/>
    <w:rsid w:val="002F226F"/>
    <w:rsid w:val="002F64BB"/>
    <w:rsid w:val="002F6875"/>
    <w:rsid w:val="00301F6C"/>
    <w:rsid w:val="003062DB"/>
    <w:rsid w:val="00314EE0"/>
    <w:rsid w:val="0031633B"/>
    <w:rsid w:val="00330A3E"/>
    <w:rsid w:val="00333B59"/>
    <w:rsid w:val="00344FA2"/>
    <w:rsid w:val="003545F6"/>
    <w:rsid w:val="00364CD5"/>
    <w:rsid w:val="003711B0"/>
    <w:rsid w:val="00374B6E"/>
    <w:rsid w:val="003818CF"/>
    <w:rsid w:val="00385691"/>
    <w:rsid w:val="003A4CE8"/>
    <w:rsid w:val="003D0519"/>
    <w:rsid w:val="003E5C4F"/>
    <w:rsid w:val="003F3504"/>
    <w:rsid w:val="00410166"/>
    <w:rsid w:val="00415727"/>
    <w:rsid w:val="00425FBF"/>
    <w:rsid w:val="004322BC"/>
    <w:rsid w:val="00444392"/>
    <w:rsid w:val="00447225"/>
    <w:rsid w:val="00453B8D"/>
    <w:rsid w:val="004554F2"/>
    <w:rsid w:val="00466A8C"/>
    <w:rsid w:val="00466B6F"/>
    <w:rsid w:val="00477A7E"/>
    <w:rsid w:val="004826D0"/>
    <w:rsid w:val="0049147C"/>
    <w:rsid w:val="004B1C0D"/>
    <w:rsid w:val="004B7FF1"/>
    <w:rsid w:val="004D2CAA"/>
    <w:rsid w:val="004E2920"/>
    <w:rsid w:val="004E6701"/>
    <w:rsid w:val="0050099D"/>
    <w:rsid w:val="005025C8"/>
    <w:rsid w:val="00513314"/>
    <w:rsid w:val="0053079C"/>
    <w:rsid w:val="00533DDD"/>
    <w:rsid w:val="005506DD"/>
    <w:rsid w:val="00556449"/>
    <w:rsid w:val="00561C0A"/>
    <w:rsid w:val="00564E24"/>
    <w:rsid w:val="00566899"/>
    <w:rsid w:val="00591F15"/>
    <w:rsid w:val="005967F0"/>
    <w:rsid w:val="00597424"/>
    <w:rsid w:val="0059771B"/>
    <w:rsid w:val="005A6944"/>
    <w:rsid w:val="005B1A60"/>
    <w:rsid w:val="005B728B"/>
    <w:rsid w:val="005B79D9"/>
    <w:rsid w:val="005C04E9"/>
    <w:rsid w:val="005C5A44"/>
    <w:rsid w:val="005D51C4"/>
    <w:rsid w:val="005D66F5"/>
    <w:rsid w:val="005E72D7"/>
    <w:rsid w:val="005F2891"/>
    <w:rsid w:val="005F3092"/>
    <w:rsid w:val="005F6139"/>
    <w:rsid w:val="00600625"/>
    <w:rsid w:val="006245EE"/>
    <w:rsid w:val="006333C2"/>
    <w:rsid w:val="00633DD2"/>
    <w:rsid w:val="006341B7"/>
    <w:rsid w:val="0063462E"/>
    <w:rsid w:val="00646B92"/>
    <w:rsid w:val="006524E5"/>
    <w:rsid w:val="006547B2"/>
    <w:rsid w:val="0067102D"/>
    <w:rsid w:val="006A2415"/>
    <w:rsid w:val="006A779E"/>
    <w:rsid w:val="006B07EF"/>
    <w:rsid w:val="006B5878"/>
    <w:rsid w:val="006C03B5"/>
    <w:rsid w:val="006C7A30"/>
    <w:rsid w:val="006E41D2"/>
    <w:rsid w:val="006F1217"/>
    <w:rsid w:val="006F2175"/>
    <w:rsid w:val="0071079E"/>
    <w:rsid w:val="00712B60"/>
    <w:rsid w:val="0071491F"/>
    <w:rsid w:val="0072031C"/>
    <w:rsid w:val="00722C33"/>
    <w:rsid w:val="00722F44"/>
    <w:rsid w:val="00724309"/>
    <w:rsid w:val="00724F70"/>
    <w:rsid w:val="007337F2"/>
    <w:rsid w:val="007341FF"/>
    <w:rsid w:val="00734D57"/>
    <w:rsid w:val="00742BD7"/>
    <w:rsid w:val="00750FA7"/>
    <w:rsid w:val="00757477"/>
    <w:rsid w:val="00760F07"/>
    <w:rsid w:val="00761B58"/>
    <w:rsid w:val="00766739"/>
    <w:rsid w:val="0077059B"/>
    <w:rsid w:val="00772494"/>
    <w:rsid w:val="0077598A"/>
    <w:rsid w:val="00791752"/>
    <w:rsid w:val="007968B9"/>
    <w:rsid w:val="007A7A06"/>
    <w:rsid w:val="007B7E07"/>
    <w:rsid w:val="007C58E1"/>
    <w:rsid w:val="007D58F9"/>
    <w:rsid w:val="007E4D43"/>
    <w:rsid w:val="007E5269"/>
    <w:rsid w:val="00804595"/>
    <w:rsid w:val="00813737"/>
    <w:rsid w:val="0082386D"/>
    <w:rsid w:val="0083030A"/>
    <w:rsid w:val="008431A9"/>
    <w:rsid w:val="00846248"/>
    <w:rsid w:val="0085033D"/>
    <w:rsid w:val="008511D6"/>
    <w:rsid w:val="00853CFA"/>
    <w:rsid w:val="008704E4"/>
    <w:rsid w:val="0088766D"/>
    <w:rsid w:val="00890477"/>
    <w:rsid w:val="00896338"/>
    <w:rsid w:val="008A370B"/>
    <w:rsid w:val="008C7613"/>
    <w:rsid w:val="008E17B8"/>
    <w:rsid w:val="008F11B0"/>
    <w:rsid w:val="00905B18"/>
    <w:rsid w:val="00914E15"/>
    <w:rsid w:val="00917DF7"/>
    <w:rsid w:val="0092144F"/>
    <w:rsid w:val="00937AAD"/>
    <w:rsid w:val="009405E6"/>
    <w:rsid w:val="009607FF"/>
    <w:rsid w:val="00964556"/>
    <w:rsid w:val="00975044"/>
    <w:rsid w:val="009810E1"/>
    <w:rsid w:val="00983420"/>
    <w:rsid w:val="009947D5"/>
    <w:rsid w:val="00996A03"/>
    <w:rsid w:val="009A36CD"/>
    <w:rsid w:val="009A3FCD"/>
    <w:rsid w:val="009C002E"/>
    <w:rsid w:val="009C52AC"/>
    <w:rsid w:val="009F19EF"/>
    <w:rsid w:val="009F551B"/>
    <w:rsid w:val="009F586C"/>
    <w:rsid w:val="00A038D0"/>
    <w:rsid w:val="00A06CBA"/>
    <w:rsid w:val="00A06E23"/>
    <w:rsid w:val="00A23DB1"/>
    <w:rsid w:val="00A3003F"/>
    <w:rsid w:val="00A325CF"/>
    <w:rsid w:val="00A47597"/>
    <w:rsid w:val="00A55193"/>
    <w:rsid w:val="00A6152C"/>
    <w:rsid w:val="00A61A77"/>
    <w:rsid w:val="00A63C41"/>
    <w:rsid w:val="00A70D8A"/>
    <w:rsid w:val="00A91D80"/>
    <w:rsid w:val="00A92408"/>
    <w:rsid w:val="00AA6EE8"/>
    <w:rsid w:val="00AC52AE"/>
    <w:rsid w:val="00AC7B07"/>
    <w:rsid w:val="00AD59A3"/>
    <w:rsid w:val="00AD6150"/>
    <w:rsid w:val="00AE2733"/>
    <w:rsid w:val="00AE4BF1"/>
    <w:rsid w:val="00AF0D83"/>
    <w:rsid w:val="00AF1CB8"/>
    <w:rsid w:val="00B01075"/>
    <w:rsid w:val="00B14F8E"/>
    <w:rsid w:val="00B419BD"/>
    <w:rsid w:val="00B47810"/>
    <w:rsid w:val="00B5467E"/>
    <w:rsid w:val="00B751B5"/>
    <w:rsid w:val="00B81EED"/>
    <w:rsid w:val="00B8478F"/>
    <w:rsid w:val="00BA47F0"/>
    <w:rsid w:val="00BB16CE"/>
    <w:rsid w:val="00BB2A88"/>
    <w:rsid w:val="00BC2C0A"/>
    <w:rsid w:val="00BC35CC"/>
    <w:rsid w:val="00BD0E81"/>
    <w:rsid w:val="00BD26DC"/>
    <w:rsid w:val="00BD6CE5"/>
    <w:rsid w:val="00BE00D8"/>
    <w:rsid w:val="00C15AD3"/>
    <w:rsid w:val="00C249E7"/>
    <w:rsid w:val="00C250F0"/>
    <w:rsid w:val="00C35C76"/>
    <w:rsid w:val="00C36A32"/>
    <w:rsid w:val="00C4759A"/>
    <w:rsid w:val="00C50A7B"/>
    <w:rsid w:val="00C520CC"/>
    <w:rsid w:val="00C55829"/>
    <w:rsid w:val="00C55C09"/>
    <w:rsid w:val="00C87A11"/>
    <w:rsid w:val="00C9241A"/>
    <w:rsid w:val="00C959CB"/>
    <w:rsid w:val="00CA303A"/>
    <w:rsid w:val="00CA4038"/>
    <w:rsid w:val="00CA56D5"/>
    <w:rsid w:val="00CA7B8C"/>
    <w:rsid w:val="00CC0ADA"/>
    <w:rsid w:val="00CC2A8E"/>
    <w:rsid w:val="00CC37AE"/>
    <w:rsid w:val="00CC52DD"/>
    <w:rsid w:val="00CC6BDF"/>
    <w:rsid w:val="00CE41DF"/>
    <w:rsid w:val="00CF1AE1"/>
    <w:rsid w:val="00CF3E44"/>
    <w:rsid w:val="00CF7D54"/>
    <w:rsid w:val="00D03463"/>
    <w:rsid w:val="00D040A0"/>
    <w:rsid w:val="00D26267"/>
    <w:rsid w:val="00D42929"/>
    <w:rsid w:val="00D565E4"/>
    <w:rsid w:val="00D633F8"/>
    <w:rsid w:val="00D66BA0"/>
    <w:rsid w:val="00D7075A"/>
    <w:rsid w:val="00D803E7"/>
    <w:rsid w:val="00D8156F"/>
    <w:rsid w:val="00D81829"/>
    <w:rsid w:val="00D81B43"/>
    <w:rsid w:val="00D8535C"/>
    <w:rsid w:val="00D9725A"/>
    <w:rsid w:val="00DB5BFA"/>
    <w:rsid w:val="00DD48D3"/>
    <w:rsid w:val="00DD61EA"/>
    <w:rsid w:val="00DE2C98"/>
    <w:rsid w:val="00DE394D"/>
    <w:rsid w:val="00DF4EAA"/>
    <w:rsid w:val="00E05B54"/>
    <w:rsid w:val="00E24093"/>
    <w:rsid w:val="00E276CD"/>
    <w:rsid w:val="00E310D5"/>
    <w:rsid w:val="00E47C6E"/>
    <w:rsid w:val="00E551BD"/>
    <w:rsid w:val="00E62ADC"/>
    <w:rsid w:val="00E70C30"/>
    <w:rsid w:val="00E72168"/>
    <w:rsid w:val="00E83C7E"/>
    <w:rsid w:val="00E84569"/>
    <w:rsid w:val="00E846A8"/>
    <w:rsid w:val="00E86CAC"/>
    <w:rsid w:val="00E9372A"/>
    <w:rsid w:val="00EA1063"/>
    <w:rsid w:val="00EA7FAE"/>
    <w:rsid w:val="00EB2729"/>
    <w:rsid w:val="00EB2DEB"/>
    <w:rsid w:val="00EB5AFD"/>
    <w:rsid w:val="00EC1A10"/>
    <w:rsid w:val="00ED4685"/>
    <w:rsid w:val="00EE6774"/>
    <w:rsid w:val="00EF4542"/>
    <w:rsid w:val="00F10E50"/>
    <w:rsid w:val="00F2017B"/>
    <w:rsid w:val="00F2633F"/>
    <w:rsid w:val="00F26EA6"/>
    <w:rsid w:val="00F47A51"/>
    <w:rsid w:val="00F51D1D"/>
    <w:rsid w:val="00F6386F"/>
    <w:rsid w:val="00F6733D"/>
    <w:rsid w:val="00F73209"/>
    <w:rsid w:val="00F73F86"/>
    <w:rsid w:val="00F82CB7"/>
    <w:rsid w:val="00F85622"/>
    <w:rsid w:val="00F869BA"/>
    <w:rsid w:val="00F871DB"/>
    <w:rsid w:val="00F90ECB"/>
    <w:rsid w:val="00F95A36"/>
    <w:rsid w:val="00FA514D"/>
    <w:rsid w:val="00FD18C7"/>
    <w:rsid w:val="00FD4C12"/>
    <w:rsid w:val="00FD4D3E"/>
    <w:rsid w:val="00FE2FE1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A92084"/>
  <w15:chartTrackingRefBased/>
  <w15:docId w15:val="{7C69D708-44F0-4F45-8B5F-40748DED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bidi="te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66739"/>
    <w:pPr>
      <w:widowControl/>
      <w:autoSpaceDE/>
      <w:autoSpaceDN/>
      <w:adjustRightInd/>
      <w:jc w:val="center"/>
    </w:pPr>
    <w:rPr>
      <w:b/>
      <w:sz w:val="24"/>
      <w:lang w:bidi="ar-SA"/>
    </w:rPr>
  </w:style>
  <w:style w:type="paragraph" w:customStyle="1" w:styleId="3-normalyaz">
    <w:name w:val="3-normalyaz"/>
    <w:basedOn w:val="Normal"/>
    <w:rsid w:val="00CC52DD"/>
    <w:pPr>
      <w:widowControl/>
      <w:autoSpaceDE/>
      <w:autoSpaceDN/>
      <w:adjustRightInd/>
      <w:jc w:val="both"/>
    </w:pPr>
    <w:rPr>
      <w:sz w:val="19"/>
      <w:szCs w:val="19"/>
      <w:lang w:bidi="ar-SA"/>
    </w:rPr>
  </w:style>
  <w:style w:type="paragraph" w:styleId="AralkYok">
    <w:name w:val="No Spacing"/>
    <w:uiPriority w:val="1"/>
    <w:qFormat/>
    <w:rsid w:val="00053A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loKlavuzu">
    <w:name w:val="Table Grid"/>
    <w:basedOn w:val="NormalTablo"/>
    <w:uiPriority w:val="39"/>
    <w:rsid w:val="002946E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rsid w:val="00301F6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01F6C"/>
  </w:style>
  <w:style w:type="character" w:customStyle="1" w:styleId="AklamaMetniChar">
    <w:name w:val="Açıklama Metni Char"/>
    <w:basedOn w:val="VarsaylanParagrafYazTipi"/>
    <w:link w:val="AklamaMetni"/>
    <w:rsid w:val="00301F6C"/>
    <w:rPr>
      <w:lang w:bidi="te-IN"/>
    </w:rPr>
  </w:style>
  <w:style w:type="paragraph" w:styleId="AklamaKonusu">
    <w:name w:val="annotation subject"/>
    <w:basedOn w:val="AklamaMetni"/>
    <w:next w:val="AklamaMetni"/>
    <w:link w:val="AklamaKonusuChar"/>
    <w:rsid w:val="00301F6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01F6C"/>
    <w:rPr>
      <w:b/>
      <w:bCs/>
      <w:lang w:bidi="te-IN"/>
    </w:rPr>
  </w:style>
  <w:style w:type="paragraph" w:styleId="BalonMetni">
    <w:name w:val="Balloon Text"/>
    <w:basedOn w:val="Normal"/>
    <w:link w:val="BalonMetniChar"/>
    <w:rsid w:val="00301F6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01F6C"/>
    <w:rPr>
      <w:rFonts w:ascii="Segoe UI" w:hAnsi="Segoe UI" w:cs="Segoe UI"/>
      <w:sz w:val="18"/>
      <w:szCs w:val="18"/>
      <w:lang w:bidi="te-IN"/>
    </w:rPr>
  </w:style>
  <w:style w:type="paragraph" w:styleId="ListeParagraf">
    <w:name w:val="List Paragraph"/>
    <w:basedOn w:val="Normal"/>
    <w:uiPriority w:val="34"/>
    <w:qFormat/>
    <w:rsid w:val="005E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79F2-00E2-4E4F-8F42-2D76BD12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Hewlett-Packard Company</cp:lastModifiedBy>
  <cp:revision>2</cp:revision>
  <cp:lastPrinted>2023-08-14T07:35:00Z</cp:lastPrinted>
  <dcterms:created xsi:type="dcterms:W3CDTF">2023-08-17T12:16:00Z</dcterms:created>
  <dcterms:modified xsi:type="dcterms:W3CDTF">2023-08-17T12:16:00Z</dcterms:modified>
</cp:coreProperties>
</file>