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8A" w:rsidRPr="00297FDB" w:rsidRDefault="00EF3C8A" w:rsidP="00EF3C8A">
      <w:pPr>
        <w:pStyle w:val="T2"/>
      </w:pPr>
      <w:r w:rsidRPr="00297FDB">
        <w:t xml:space="preserve">ATATÜRK ÜNİVERSİTESİ DİŞ HEKİMLİĞİ FAKÜLTESİ, </w:t>
      </w:r>
      <w:r>
        <w:t>ENDODONTİ</w:t>
      </w:r>
      <w:r w:rsidRPr="00297FDB">
        <w:t xml:space="preserve"> UZMANLIK EĞİTİMİ</w:t>
      </w:r>
      <w:r>
        <w:t xml:space="preserve"> PROGRAMI</w:t>
      </w:r>
      <w:r w:rsidRPr="00297FDB">
        <w:t xml:space="preserve"> ÇEKİRDEK EĞİTİM MÜFREDATI</w:t>
      </w:r>
      <w:r>
        <w:t xml:space="preserve"> HİZMET SUNUCUSU, KLİNİK/GİRİŞİMCİLİK</w:t>
      </w:r>
      <w:r w:rsidRPr="00297FDB">
        <w:t xml:space="preserve"> YETKİNLİK HEDEFLERİ</w:t>
      </w:r>
      <w:r>
        <w:t xml:space="preserve"> KARNESİ</w:t>
      </w:r>
    </w:p>
    <w:p w:rsidR="00EF3C8A" w:rsidRDefault="00EF3C8A" w:rsidP="00EF3C8A"/>
    <w:p w:rsidR="00EF3C8A" w:rsidRDefault="00EF3C8A" w:rsidP="00EF3C8A">
      <w:pPr>
        <w:rPr>
          <w:b/>
          <w:sz w:val="24"/>
          <w:szCs w:val="24"/>
        </w:rPr>
      </w:pPr>
      <w:r>
        <w:t xml:space="preserve">   </w:t>
      </w:r>
      <w:r w:rsidRPr="00F70010">
        <w:rPr>
          <w:b/>
          <w:sz w:val="24"/>
          <w:szCs w:val="24"/>
        </w:rPr>
        <w:t xml:space="preserve">Adı </w:t>
      </w:r>
      <w:proofErr w:type="gramStart"/>
      <w:r w:rsidRPr="00F70010">
        <w:rPr>
          <w:b/>
          <w:sz w:val="24"/>
          <w:szCs w:val="24"/>
        </w:rPr>
        <w:t xml:space="preserve">Soyadı : </w:t>
      </w:r>
      <w:r w:rsidR="00407DA3">
        <w:rPr>
          <w:b/>
          <w:sz w:val="24"/>
          <w:szCs w:val="24"/>
        </w:rPr>
        <w:t>Arş</w:t>
      </w:r>
      <w:proofErr w:type="gramEnd"/>
      <w:r w:rsidR="00407DA3">
        <w:rPr>
          <w:b/>
          <w:sz w:val="24"/>
          <w:szCs w:val="24"/>
        </w:rPr>
        <w:t xml:space="preserve">. Gör. </w:t>
      </w:r>
      <w:proofErr w:type="spellStart"/>
      <w:r w:rsidR="00407DA3">
        <w:rPr>
          <w:b/>
          <w:sz w:val="24"/>
          <w:szCs w:val="24"/>
        </w:rPr>
        <w:t>Dt</w:t>
      </w:r>
      <w:proofErr w:type="spellEnd"/>
      <w:r w:rsidR="00407DA3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B13FAA" w:rsidRDefault="00B13FAA" w:rsidP="00EF3C8A">
      <w:pPr>
        <w:rPr>
          <w:b/>
          <w:sz w:val="24"/>
          <w:szCs w:val="24"/>
        </w:rPr>
      </w:pPr>
    </w:p>
    <w:p w:rsidR="00B13FAA" w:rsidRDefault="00B13FAA" w:rsidP="00EF3C8A">
      <w:pPr>
        <w:rPr>
          <w:b/>
          <w:sz w:val="24"/>
          <w:szCs w:val="24"/>
        </w:rPr>
      </w:pPr>
    </w:p>
    <w:p w:rsidR="00B13FAA" w:rsidRDefault="00B13FAA" w:rsidP="00EF3C8A">
      <w:pPr>
        <w:rPr>
          <w:b/>
          <w:sz w:val="24"/>
          <w:szCs w:val="24"/>
        </w:rPr>
      </w:pPr>
    </w:p>
    <w:p w:rsidR="00EF3C8A" w:rsidRDefault="00EF3C8A" w:rsidP="00EF3C8A">
      <w:pPr>
        <w:rPr>
          <w:b/>
          <w:sz w:val="24"/>
          <w:szCs w:val="24"/>
        </w:rPr>
      </w:pPr>
    </w:p>
    <w:p w:rsidR="00EF3C8A" w:rsidRDefault="00EF3C8A" w:rsidP="00EF3C8A">
      <w:pPr>
        <w:rPr>
          <w:b/>
          <w:sz w:val="24"/>
          <w:szCs w:val="24"/>
        </w:rPr>
      </w:pPr>
    </w:p>
    <w:p w:rsidR="00EF3C8A" w:rsidRDefault="00EF3C8A" w:rsidP="00EF3C8A">
      <w:pPr>
        <w:rPr>
          <w:b/>
          <w:sz w:val="24"/>
          <w:szCs w:val="24"/>
        </w:rPr>
      </w:pPr>
    </w:p>
    <w:p w:rsidR="00EF3C8A" w:rsidRPr="00F70010" w:rsidRDefault="00EF3C8A" w:rsidP="00EF3C8A">
      <w:pPr>
        <w:rPr>
          <w:b/>
          <w:sz w:val="24"/>
          <w:szCs w:val="24"/>
        </w:rPr>
      </w:pPr>
    </w:p>
    <w:p w:rsidR="00EF3C8A" w:rsidRDefault="00EF3C8A" w:rsidP="00EF3C8A"/>
    <w:p w:rsidR="00EF3C8A" w:rsidRDefault="00EF3C8A" w:rsidP="00EF3C8A">
      <w:pPr>
        <w:pStyle w:val="T2"/>
      </w:pPr>
      <w:r w:rsidRPr="00521E5C">
        <w:t>KLİNİK YETKİNLİK İÇİN KULLANILAN TANIMLAR VE KISALTMALARI</w:t>
      </w:r>
    </w:p>
    <w:p w:rsidR="00EF3C8A" w:rsidRDefault="00EF3C8A" w:rsidP="00EF3C8A"/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09E3">
        <w:rPr>
          <w:rFonts w:cs="Calibri"/>
          <w:b/>
        </w:rPr>
        <w:t>Klinik yetkinlikler</w:t>
      </w:r>
      <w:r>
        <w:rPr>
          <w:rFonts w:cs="Calibri"/>
        </w:rPr>
        <w:t xml:space="preserve"> için; üç ana düzey ve iki adet ek düzey tanımlanmıştır. Öğrencinin ulaşması gereken düzeyler bu üç ana düzeyden birini mutlaka içermelidir. T ve TT düzeyleri A ve K ile birlikte kodlanabilirken B düzeyi sadece K düzeyi ile birlikte kodlanabilir. B, T ve TT düzeyleri birbirlerini kapsadıkları için birlikte kodlanamazlar. 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B</w:t>
      </w:r>
      <w:r>
        <w:rPr>
          <w:rFonts w:cs="Calibri"/>
        </w:rPr>
        <w:t>:Hastalığa ön tanı koyma ve gerekli durumda hastaya zarar vermeyecek şekilde ve doğru zamanda, doğru yere sevk edebilecek bilgiye sahip olma düzeyini ifade eder.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T</w:t>
      </w:r>
      <w:r>
        <w:rPr>
          <w:rFonts w:cs="Calibri"/>
        </w:rPr>
        <w:t>:Hastaya tanı koyma ve sonrasında tedavi için yönlendirebilme düzeyini ifade eder.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TT</w:t>
      </w:r>
      <w:r>
        <w:rPr>
          <w:rFonts w:cs="Calibri"/>
        </w:rPr>
        <w:t>: Ekip çalışmasının gerektirdiği durumlar dışında herhangi bir desteğe gereksinim duymadan hastanın tanı ve tedavisinin tüm sürecini yönetebilme düzeyini ifade eder.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Klinik yetkinliklerde bu düzeylere ek olarak gerekli durumlar için A ve K yetkinlik düzeyleri eklenmektedir: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A</w:t>
      </w:r>
      <w:r>
        <w:rPr>
          <w:rFonts w:cs="Calibri"/>
        </w:rPr>
        <w:t>:Hastanın acil durum tanısını koymak ve hastalığa özel acil tedavi girişimini uygulayabilme düzeyini ifade eder.</w:t>
      </w:r>
    </w:p>
    <w:p w:rsidR="00EF3C8A" w:rsidRDefault="00EF3C8A" w:rsidP="00EF3C8A">
      <w:pPr>
        <w:spacing w:after="0" w:line="240" w:lineRule="auto"/>
        <w:rPr>
          <w:rFonts w:cs="Calibri"/>
          <w:b/>
          <w:noProof/>
          <w:lang w:eastAsia="tr-TR"/>
        </w:rPr>
      </w:pPr>
      <w:r>
        <w:rPr>
          <w:rFonts w:cs="Calibri"/>
          <w:b/>
        </w:rPr>
        <w:t>K</w:t>
      </w:r>
      <w:r>
        <w:rPr>
          <w:rFonts w:cs="Calibri"/>
        </w:rPr>
        <w:t>:Hastanın birincil, ikincil ve üçüncül korunma gereksinimlerini tanımlamayı ve gerekli koruyucu önlemleri alabilme düzeyini ifade eder.</w:t>
      </w:r>
      <w:r w:rsidRPr="00AE0DF8">
        <w:rPr>
          <w:rFonts w:cs="Calibri"/>
          <w:b/>
          <w:noProof/>
          <w:lang w:eastAsia="tr-TR"/>
        </w:rPr>
        <w:t xml:space="preserve"> </w:t>
      </w:r>
    </w:p>
    <w:p w:rsidR="0063228C" w:rsidRDefault="0063228C"/>
    <w:p w:rsidR="00EF3C8A" w:rsidRDefault="00EF3C8A"/>
    <w:tbl>
      <w:tblPr>
        <w:tblW w:w="8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2405"/>
        <w:gridCol w:w="2410"/>
        <w:gridCol w:w="709"/>
        <w:gridCol w:w="567"/>
        <w:gridCol w:w="992"/>
        <w:gridCol w:w="709"/>
        <w:gridCol w:w="709"/>
      </w:tblGrid>
      <w:tr w:rsidR="00EF3C8A" w:rsidRPr="00EF3C8A" w:rsidTr="00EF3C8A">
        <w:trPr>
          <w:trHeight w:val="1274"/>
          <w:tblHeader/>
        </w:trPr>
        <w:tc>
          <w:tcPr>
            <w:tcW w:w="2405" w:type="dxa"/>
            <w:shd w:val="clear" w:color="auto" w:fill="9E3A3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9E3A38"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KLİNİK YETKİNLİK</w:t>
            </w:r>
          </w:p>
        </w:tc>
        <w:tc>
          <w:tcPr>
            <w:tcW w:w="709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Düzey</w:t>
            </w:r>
          </w:p>
        </w:tc>
        <w:tc>
          <w:tcPr>
            <w:tcW w:w="567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Kıdem</w:t>
            </w:r>
          </w:p>
        </w:tc>
        <w:tc>
          <w:tcPr>
            <w:tcW w:w="992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Yöntem</w:t>
            </w:r>
          </w:p>
        </w:tc>
        <w:tc>
          <w:tcPr>
            <w:tcW w:w="709" w:type="dxa"/>
            <w:shd w:val="clear" w:color="auto" w:fill="9E3A38"/>
            <w:textDirection w:val="btLr"/>
          </w:tcPr>
          <w:p w:rsidR="00EF3C8A" w:rsidRPr="00EF3C8A" w:rsidRDefault="006F5F4D" w:rsidP="006F5F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Eğitim Sorumlusu</w:t>
            </w:r>
          </w:p>
        </w:tc>
        <w:tc>
          <w:tcPr>
            <w:tcW w:w="709" w:type="dxa"/>
            <w:shd w:val="clear" w:color="auto" w:fill="9E3A38"/>
            <w:textDirection w:val="btL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.  Onay</w:t>
            </w: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AĞRI TANI VE YÖNETİMİ</w:t>
            </w:r>
          </w:p>
        </w:tc>
        <w:tc>
          <w:tcPr>
            <w:tcW w:w="2410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OROFASİYAL AĞRI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A, K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ENDODONTİDE MİKROBİYOLOJİ VE İMMÜNOLOJİ</w:t>
            </w:r>
          </w:p>
        </w:tc>
        <w:tc>
          <w:tcPr>
            <w:tcW w:w="2410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ENDODONTİDE MİKROBİYOLOJİ VE İMMÜNOLOJİ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 w:val="restart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ENDODONTİK ALETLER VE MATERYALLER</w:t>
            </w:r>
          </w:p>
        </w:tc>
        <w:tc>
          <w:tcPr>
            <w:tcW w:w="2410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ENDODONTİK ALETLER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ENDODONTİK MATERYALLER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ALET YUTMA VE ASPİRASYON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B,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 w:val="restart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PULPA VE PERİAPİKAL DOKU HASTALIKLARI</w:t>
            </w:r>
          </w:p>
        </w:tc>
        <w:tc>
          <w:tcPr>
            <w:tcW w:w="2410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REVERSİBL PULPA HASTALIKLARI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A, K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İRREVERSİBL PULPA HASTALIKLARI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</w:t>
            </w:r>
          </w:p>
        </w:tc>
        <w:tc>
          <w:tcPr>
            <w:tcW w:w="567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Cs/>
                <w:sz w:val="16"/>
                <w:szCs w:val="16"/>
                <w:lang w:eastAsia="tr-TR"/>
              </w:rPr>
              <w:t>NEKROZE PULPALI VE/VEYA PERİAPİKAL LEZYONLU DİŞLER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İÇ VE DIŞ KÖK REZORPSİYONLARI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ANOMALİLİ DİŞLERDE KÖK KANAL YÖNETİMİ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ENDODONTAL PERİODONTAL LEZYONLAR</w:t>
            </w: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ENDODONTAL PERİODONTAL LEZYONLARIN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 w:val="restart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ERİŞKİNLERDE DİŞ TRAVMALARI</w:t>
            </w: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KOMPLİKE KRON KIRIKLARININ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A, K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KOMPLİKE KRON KÖK KIRIKLARININ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K, A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KÖK KIRIKLARININ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K, A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PERİODONTAL DOKU YARALANMALARIN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TT, K, A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 w:val="restart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KÖK KANALI DESTEKLİ RESTORASYONLAR</w:t>
            </w: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POST UYGULAMALARI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629"/>
        </w:trPr>
        <w:tc>
          <w:tcPr>
            <w:tcW w:w="2405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POST KULLANILMAYAN UYGULAMALAR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TT</w:t>
            </w:r>
          </w:p>
        </w:tc>
        <w:tc>
          <w:tcPr>
            <w:tcW w:w="567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UE, BE</w:t>
            </w: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</w:tbl>
    <w:p w:rsidR="00EF3C8A" w:rsidRDefault="00EF3C8A">
      <w:pPr>
        <w:rPr>
          <w:sz w:val="16"/>
          <w:szCs w:val="16"/>
        </w:rPr>
      </w:pPr>
    </w:p>
    <w:p w:rsidR="00EF3C8A" w:rsidRDefault="00EF3C8A">
      <w:pPr>
        <w:rPr>
          <w:sz w:val="16"/>
          <w:szCs w:val="16"/>
        </w:rPr>
      </w:pPr>
    </w:p>
    <w:p w:rsidR="00EF3C8A" w:rsidRPr="00A579B9" w:rsidRDefault="00EF3C8A" w:rsidP="00EF3C8A">
      <w:pPr>
        <w:pStyle w:val="T2"/>
      </w:pPr>
      <w:r w:rsidRPr="00A579B9">
        <w:t>GİRİŞİMSEL YETKİNLİK İÇİN KULLANILAN TANIMLAR VE KISALTMALARI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09E3">
        <w:rPr>
          <w:rFonts w:cs="Calibri"/>
          <w:b/>
        </w:rPr>
        <w:t>Girişimsel Yetkinlikler</w:t>
      </w:r>
      <w:r>
        <w:rPr>
          <w:rFonts w:cs="Calibri"/>
        </w:rPr>
        <w:t xml:space="preserve"> için dört düzey tanımlanmıştır.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1</w:t>
      </w:r>
      <w:r>
        <w:rPr>
          <w:rFonts w:cs="Calibri"/>
        </w:rPr>
        <w:t xml:space="preserve">: Girişimin nasıl yapıldığı konusunda bilgi sahibi olma ve bu konuda gerektiğinde açıklama yapabilme düzeyini ifade eder. 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2</w:t>
      </w:r>
      <w:r>
        <w:rPr>
          <w:rFonts w:cs="Calibri"/>
        </w:rPr>
        <w:t>: Acil bir durumda, kılavuz veya yönerge eşliğinde veya gözetim ve denetim altında bu girişimi yapabilme düzeyini ifade eder.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>
        <w:rPr>
          <w:rFonts w:cs="Calibri"/>
        </w:rPr>
        <w:t>: Karmaşık olmayan, sık görülen tipik olgularda girişimi uygulayabilme düzeyini ifade eder.</w:t>
      </w:r>
    </w:p>
    <w:p w:rsidR="00EF3C8A" w:rsidRDefault="00EF3C8A" w:rsidP="00E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4</w:t>
      </w:r>
      <w:r>
        <w:rPr>
          <w:rFonts w:cs="Calibri"/>
        </w:rPr>
        <w:t>: Karmaşık olsun veya olmasın her tür olguda girişimi uygulayabilme düzeyini ifade eder.</w:t>
      </w:r>
    </w:p>
    <w:p w:rsidR="00EF3C8A" w:rsidRDefault="00EF3C8A">
      <w:pPr>
        <w:rPr>
          <w:sz w:val="16"/>
          <w:szCs w:val="16"/>
        </w:rPr>
      </w:pP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2263"/>
        <w:gridCol w:w="2835"/>
        <w:gridCol w:w="709"/>
        <w:gridCol w:w="709"/>
        <w:gridCol w:w="992"/>
        <w:gridCol w:w="567"/>
        <w:gridCol w:w="709"/>
      </w:tblGrid>
      <w:tr w:rsidR="00EF3C8A" w:rsidRPr="00EF3C8A" w:rsidTr="00EF3C8A">
        <w:trPr>
          <w:trHeight w:val="1208"/>
          <w:tblHeader/>
        </w:trPr>
        <w:tc>
          <w:tcPr>
            <w:tcW w:w="2263" w:type="dxa"/>
            <w:shd w:val="clear" w:color="auto" w:fill="9E3A3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9E3A38"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GİRİŞİMSEL YETKİNLİK</w:t>
            </w:r>
          </w:p>
        </w:tc>
        <w:tc>
          <w:tcPr>
            <w:tcW w:w="709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Düzey</w:t>
            </w:r>
          </w:p>
        </w:tc>
        <w:tc>
          <w:tcPr>
            <w:tcW w:w="709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Kıdem</w:t>
            </w:r>
          </w:p>
        </w:tc>
        <w:tc>
          <w:tcPr>
            <w:tcW w:w="992" w:type="dxa"/>
            <w:shd w:val="clear" w:color="auto" w:fill="9E3A38"/>
            <w:textDirection w:val="btLr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Yöntem</w:t>
            </w:r>
          </w:p>
        </w:tc>
        <w:tc>
          <w:tcPr>
            <w:tcW w:w="567" w:type="dxa"/>
            <w:shd w:val="clear" w:color="auto" w:fill="9E3A38"/>
            <w:textDirection w:val="btLr"/>
          </w:tcPr>
          <w:p w:rsidR="00EF3C8A" w:rsidRPr="00EF3C8A" w:rsidRDefault="006F5F4D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Eğitim Sorumlusu</w:t>
            </w:r>
          </w:p>
        </w:tc>
        <w:tc>
          <w:tcPr>
            <w:tcW w:w="709" w:type="dxa"/>
            <w:shd w:val="clear" w:color="auto" w:fill="9E3A38"/>
            <w:textDirection w:val="btL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tr-TR"/>
              </w:rPr>
              <w:t>.  Onay</w:t>
            </w: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 w:val="restart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ENDODONTİDE TANI YÖNTEMLERİ</w:t>
            </w: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ENDODONTİK RADYODİAGNOSTİK TANI YÖNTEMLERİ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KLİNİK TANI YÖNTEMLERİ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 w:val="restart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CERRAHİ OLMAYAN ENDODONTİK TEDAVİ</w:t>
            </w: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VİTAL PULPA TEDAVİLERİ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KÖK KANAL TEDAVİLERİ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KANAL TEDAVİSİNİN YENİLENMESİ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APEKSOGENEZİS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APEKSİFİKASYON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REZORPSİYON OLGULARININ TEDAVİSİ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KALSİFİYE OLGULARDA TEDAVİ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 w:val="restart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ENDODONTİK CERRAHİ TEDAVİLER</w:t>
            </w:r>
          </w:p>
        </w:tc>
        <w:tc>
          <w:tcPr>
            <w:tcW w:w="2835" w:type="dxa"/>
            <w:shd w:val="clear" w:color="auto" w:fill="EDF2F8"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RETRO APİKAL DOLGU UYGULAMALARI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PERİAPİKAL APSE DRENAJI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highlight w:val="cyan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  <w:hideMark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 xml:space="preserve">APİKAL REZEKSİYON VE KÜRETAJ 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 xml:space="preserve">KÖK AMPUTASYONLARI, HEMİSEKSİYON/BİKÜSPİDİZASYON 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 xml:space="preserve">REPLANTASYON 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MİKROENDODONTİK TEDAVİLER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MİKROENDODONTİK TEDAVİLER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AĞARTMA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DEVİTAL DİŞ AĞARTMASI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 w:val="restart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lastRenderedPageBreak/>
              <w:t>ENDODONTİK TEDAVİ KOMPLİKASYONLARININ YÖNETİMİ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ŞEKİLLENDİRME KOMPLİKASYONLARI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bottom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İRRİGASYON KOMPLİKASYONLARI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vMerge/>
            <w:shd w:val="clear" w:color="auto" w:fill="EDF2F8"/>
            <w:noWrap/>
            <w:vAlign w:val="bottom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KANAL DOLGUSU KOMPLİKASYONLARI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RUBBER DAM UYGULAMASI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RUBBER DAM UYGULAMASI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ACİL ENDODONTİK TEDAVİLER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ACİL ENDODONTİK TEDAVİLER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bottom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GENEL ANESTEZİ/ SEDASYON ALTINDA ENDODONTİK UYGULAMALAR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GENEL ANESTEZİ/ SEDASYON ALTINDA ENDODONTİK UYGULAMALAR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  <w:tr w:rsidR="00EF3C8A" w:rsidRPr="00EF3C8A" w:rsidTr="00EF3C8A">
        <w:trPr>
          <w:trHeight w:val="596"/>
        </w:trPr>
        <w:tc>
          <w:tcPr>
            <w:tcW w:w="2263" w:type="dxa"/>
            <w:shd w:val="clear" w:color="auto" w:fill="EDF2F8"/>
            <w:noWrap/>
            <w:vAlign w:val="bottom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b/>
                <w:sz w:val="16"/>
                <w:szCs w:val="16"/>
                <w:lang w:eastAsia="tr-TR"/>
              </w:rPr>
              <w:t>GERİATRİK ENDODONTİ UYGULAMALARI</w:t>
            </w:r>
          </w:p>
        </w:tc>
        <w:tc>
          <w:tcPr>
            <w:tcW w:w="2835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GERİATRİK ENDODONTİ UYGULAMALARI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EDF2F8"/>
            <w:noWrap/>
            <w:vAlign w:val="center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  <w:r w:rsidRPr="00EF3C8A">
              <w:rPr>
                <w:rFonts w:eastAsia="Times New Roman" w:cs="Calibri"/>
                <w:sz w:val="16"/>
                <w:szCs w:val="16"/>
                <w:lang w:eastAsia="tr-TR"/>
              </w:rPr>
              <w:t>YE, BE, UE</w:t>
            </w:r>
          </w:p>
        </w:tc>
        <w:tc>
          <w:tcPr>
            <w:tcW w:w="567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auto" w:fill="EDF2F8"/>
          </w:tcPr>
          <w:p w:rsidR="00EF3C8A" w:rsidRPr="00EF3C8A" w:rsidRDefault="00EF3C8A" w:rsidP="00111E0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tr-TR"/>
              </w:rPr>
            </w:pPr>
          </w:p>
        </w:tc>
      </w:tr>
    </w:tbl>
    <w:p w:rsidR="00EF3C8A" w:rsidRDefault="00EF3C8A">
      <w:pPr>
        <w:rPr>
          <w:sz w:val="16"/>
          <w:szCs w:val="16"/>
        </w:rPr>
      </w:pPr>
    </w:p>
    <w:p w:rsidR="00EF3C8A" w:rsidRPr="00EF3C8A" w:rsidRDefault="00EF3C8A" w:rsidP="00EF3C8A">
      <w:pPr>
        <w:rPr>
          <w:sz w:val="16"/>
          <w:szCs w:val="16"/>
        </w:rPr>
      </w:pPr>
    </w:p>
    <w:p w:rsidR="00EF3C8A" w:rsidRPr="00EF3C8A" w:rsidRDefault="00EF3C8A" w:rsidP="00EF3C8A">
      <w:pPr>
        <w:rPr>
          <w:sz w:val="16"/>
          <w:szCs w:val="16"/>
        </w:rPr>
      </w:pPr>
    </w:p>
    <w:p w:rsidR="00EF3C8A" w:rsidRDefault="00EF3C8A" w:rsidP="00EF3C8A">
      <w:pPr>
        <w:rPr>
          <w:sz w:val="16"/>
          <w:szCs w:val="16"/>
        </w:rPr>
      </w:pPr>
    </w:p>
    <w:p w:rsidR="00EF3C8A" w:rsidRDefault="00EF3C8A" w:rsidP="00EF3C8A">
      <w:pPr>
        <w:rPr>
          <w:sz w:val="16"/>
          <w:szCs w:val="16"/>
        </w:rPr>
      </w:pPr>
    </w:p>
    <w:p w:rsidR="00EF3C8A" w:rsidRDefault="00EF3C8A" w:rsidP="00EF3C8A">
      <w:pPr>
        <w:rPr>
          <w:sz w:val="16"/>
          <w:szCs w:val="16"/>
        </w:rPr>
      </w:pPr>
    </w:p>
    <w:p w:rsidR="00EF3C8A" w:rsidRPr="00EF3C8A" w:rsidRDefault="00EF3C8A" w:rsidP="00EF3C8A">
      <w:pPr>
        <w:rPr>
          <w:sz w:val="16"/>
          <w:szCs w:val="16"/>
        </w:rPr>
      </w:pPr>
    </w:p>
    <w:p w:rsidR="00EF3C8A" w:rsidRDefault="00EF3C8A" w:rsidP="00EF3C8A">
      <w:pPr>
        <w:rPr>
          <w:sz w:val="16"/>
          <w:szCs w:val="16"/>
        </w:rPr>
      </w:pPr>
    </w:p>
    <w:p w:rsidR="00EF3C8A" w:rsidRPr="00E00167" w:rsidRDefault="00EF3C8A" w:rsidP="00EF3C8A">
      <w:pPr>
        <w:rPr>
          <w:b/>
        </w:rPr>
      </w:pPr>
      <w:r>
        <w:rPr>
          <w:b/>
        </w:rPr>
        <w:t xml:space="preserve">      </w:t>
      </w:r>
      <w:r w:rsidRPr="00E00167">
        <w:rPr>
          <w:b/>
        </w:rPr>
        <w:t>Program Yöneticisi</w:t>
      </w:r>
      <w:r>
        <w:rPr>
          <w:b/>
        </w:rPr>
        <w:t xml:space="preserve">                                                                                      Kurum Yöneticisi</w:t>
      </w:r>
    </w:p>
    <w:p w:rsidR="00EF3C8A" w:rsidRDefault="00EF3C8A" w:rsidP="00EF3C8A">
      <w:r>
        <w:t xml:space="preserve">            Kaşe/İmza                                                                                                        Kaşe/İmza</w:t>
      </w:r>
    </w:p>
    <w:p w:rsidR="00EF3C8A" w:rsidRPr="00EF3C8A" w:rsidRDefault="00EF3C8A" w:rsidP="00EF3C8A">
      <w:pPr>
        <w:rPr>
          <w:sz w:val="16"/>
          <w:szCs w:val="16"/>
        </w:rPr>
      </w:pPr>
    </w:p>
    <w:sectPr w:rsidR="00EF3C8A" w:rsidRPr="00EF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A0"/>
    <w:rsid w:val="00155CA0"/>
    <w:rsid w:val="00407DA3"/>
    <w:rsid w:val="0063228C"/>
    <w:rsid w:val="006F5F4D"/>
    <w:rsid w:val="00984C60"/>
    <w:rsid w:val="00B13FAA"/>
    <w:rsid w:val="00DA040A"/>
    <w:rsid w:val="00E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548F"/>
  <w15:chartTrackingRefBased/>
  <w15:docId w15:val="{68A18A59-5525-4131-94BC-6F2F2EC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2">
    <w:name w:val="toc 2"/>
    <w:basedOn w:val="Normal"/>
    <w:next w:val="Normal"/>
    <w:autoRedefine/>
    <w:uiPriority w:val="39"/>
    <w:unhideWhenUsed/>
    <w:qFormat/>
    <w:rsid w:val="00EF3C8A"/>
    <w:pPr>
      <w:spacing w:before="240" w:after="0" w:line="276" w:lineRule="auto"/>
      <w:jc w:val="center"/>
    </w:pPr>
    <w:rPr>
      <w:rFonts w:ascii="Calibri" w:eastAsia="Calibri" w:hAnsi="Calibri" w:cs="Times New Roman"/>
      <w:b/>
      <w:bCs/>
      <w:sz w:val="32"/>
      <w:szCs w:val="32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GERNİ</dc:creator>
  <cp:keywords/>
  <dc:description/>
  <cp:lastModifiedBy>Murat GERNİ</cp:lastModifiedBy>
  <cp:revision>6</cp:revision>
  <cp:lastPrinted>2021-08-16T08:56:00Z</cp:lastPrinted>
  <dcterms:created xsi:type="dcterms:W3CDTF">2021-03-19T06:19:00Z</dcterms:created>
  <dcterms:modified xsi:type="dcterms:W3CDTF">2022-01-05T07:07:00Z</dcterms:modified>
</cp:coreProperties>
</file>