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BDEF" w14:textId="77777777" w:rsidR="009C52AC" w:rsidRPr="00C15AD3" w:rsidRDefault="008511D6" w:rsidP="00237C61">
      <w:pPr>
        <w:shd w:val="clear" w:color="auto" w:fill="FFFFFF"/>
        <w:jc w:val="center"/>
        <w:rPr>
          <w:b/>
          <w:sz w:val="22"/>
          <w:szCs w:val="22"/>
        </w:rPr>
      </w:pPr>
      <w:bookmarkStart w:id="0" w:name="_GoBack"/>
      <w:bookmarkEnd w:id="0"/>
      <w:r w:rsidRPr="00C15AD3">
        <w:rPr>
          <w:b/>
          <w:sz w:val="22"/>
          <w:szCs w:val="22"/>
        </w:rPr>
        <w:t>ATATÜRK ÜNİVERSİTESİ</w:t>
      </w:r>
    </w:p>
    <w:p w14:paraId="0E2250E5" w14:textId="1BE35417" w:rsidR="002B774E" w:rsidRPr="00C15AD3" w:rsidRDefault="00691C1B" w:rsidP="00237C61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SAĞLIK BİLİMLERİ</w:t>
      </w:r>
      <w:r w:rsidR="00CF1AE1" w:rsidRPr="00C15AD3">
        <w:rPr>
          <w:b/>
          <w:sz w:val="22"/>
          <w:szCs w:val="22"/>
        </w:rPr>
        <w:t xml:space="preserve"> </w:t>
      </w:r>
      <w:r w:rsidR="00F73209">
        <w:rPr>
          <w:b/>
          <w:sz w:val="22"/>
          <w:szCs w:val="22"/>
        </w:rPr>
        <w:t>FAKÜLTESİ</w:t>
      </w:r>
    </w:p>
    <w:p w14:paraId="55861737" w14:textId="3FDC28CE" w:rsidR="008511D6" w:rsidRPr="00C15AD3" w:rsidRDefault="00DF4EAA" w:rsidP="00237C61">
      <w:pPr>
        <w:shd w:val="clear" w:color="auto" w:fill="FFFFFF"/>
        <w:jc w:val="center"/>
        <w:rPr>
          <w:b/>
          <w:sz w:val="22"/>
          <w:szCs w:val="22"/>
        </w:rPr>
      </w:pPr>
      <w:r w:rsidRPr="00C15AD3">
        <w:rPr>
          <w:b/>
          <w:sz w:val="22"/>
          <w:szCs w:val="22"/>
        </w:rPr>
        <w:t>LİSANS EĞİTİM</w:t>
      </w:r>
      <w:r w:rsidR="001A5D39" w:rsidRPr="00C15AD3">
        <w:rPr>
          <w:b/>
          <w:sz w:val="22"/>
          <w:szCs w:val="22"/>
        </w:rPr>
        <w:t>-</w:t>
      </w:r>
      <w:r w:rsidRPr="00C15AD3">
        <w:rPr>
          <w:b/>
          <w:sz w:val="22"/>
          <w:szCs w:val="22"/>
        </w:rPr>
        <w:t xml:space="preserve">ÖĞRETİM VE SINAV </w:t>
      </w:r>
      <w:r w:rsidR="008511D6" w:rsidRPr="00C15AD3">
        <w:rPr>
          <w:b/>
          <w:sz w:val="22"/>
          <w:szCs w:val="22"/>
        </w:rPr>
        <w:t>UYGULAMA ESASLARI</w:t>
      </w:r>
    </w:p>
    <w:p w14:paraId="14357166" w14:textId="77777777" w:rsidR="00561C0A" w:rsidRPr="00C15AD3" w:rsidRDefault="00561C0A" w:rsidP="00237C61">
      <w:pPr>
        <w:shd w:val="clear" w:color="auto" w:fill="FFFFFF"/>
        <w:ind w:firstLine="1134"/>
        <w:jc w:val="both"/>
        <w:rPr>
          <w:sz w:val="22"/>
          <w:szCs w:val="22"/>
        </w:rPr>
      </w:pPr>
    </w:p>
    <w:p w14:paraId="614C166B" w14:textId="77777777" w:rsidR="00917DF7" w:rsidRPr="00C15AD3" w:rsidRDefault="008511D6" w:rsidP="001B67E3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C15AD3">
        <w:rPr>
          <w:b/>
          <w:sz w:val="22"/>
          <w:szCs w:val="22"/>
        </w:rPr>
        <w:t>Dayanak</w:t>
      </w:r>
    </w:p>
    <w:p w14:paraId="3F04E1D6" w14:textId="77777777" w:rsidR="00B81EED" w:rsidRPr="00C15AD3" w:rsidRDefault="00B81EED" w:rsidP="001B67E3">
      <w:pPr>
        <w:shd w:val="clear" w:color="auto" w:fill="FFFFFF"/>
        <w:ind w:firstLine="567"/>
        <w:jc w:val="both"/>
        <w:rPr>
          <w:sz w:val="22"/>
          <w:szCs w:val="22"/>
        </w:rPr>
      </w:pPr>
      <w:r w:rsidRPr="00C15AD3">
        <w:rPr>
          <w:b/>
          <w:sz w:val="22"/>
          <w:szCs w:val="22"/>
        </w:rPr>
        <w:t xml:space="preserve">MADDE 1- </w:t>
      </w:r>
      <w:r w:rsidRPr="00C15AD3">
        <w:rPr>
          <w:sz w:val="22"/>
          <w:szCs w:val="22"/>
        </w:rPr>
        <w:t xml:space="preserve">(1) </w:t>
      </w:r>
      <w:r w:rsidR="00D9725A" w:rsidRPr="00C15AD3">
        <w:rPr>
          <w:sz w:val="22"/>
          <w:szCs w:val="22"/>
        </w:rPr>
        <w:t>Bu uygulama esasları 17.07.2017 tarih ve 30126 sayılı Resmi Gazete’de yayımlanan Atatürk Üniversitesi Ön Lisans ve Lisans Eğitim-Öğretim ve Sınav Yönetmeliğine dayanılarak hazırlanmıştır.</w:t>
      </w:r>
    </w:p>
    <w:p w14:paraId="395895DA" w14:textId="77777777" w:rsidR="00917DF7" w:rsidRPr="00C15AD3" w:rsidRDefault="0067102D" w:rsidP="001B67E3">
      <w:pPr>
        <w:pStyle w:val="3-normalyaz"/>
        <w:ind w:firstLine="567"/>
        <w:rPr>
          <w:b/>
          <w:bCs/>
          <w:sz w:val="22"/>
          <w:szCs w:val="22"/>
        </w:rPr>
      </w:pPr>
      <w:r w:rsidRPr="00C15AD3">
        <w:rPr>
          <w:b/>
          <w:bCs/>
          <w:sz w:val="22"/>
          <w:szCs w:val="22"/>
        </w:rPr>
        <w:t>Kapsam</w:t>
      </w:r>
    </w:p>
    <w:p w14:paraId="16798E23" w14:textId="3C0EE1CB" w:rsidR="00D8156F" w:rsidRPr="00C15AD3" w:rsidRDefault="0067102D" w:rsidP="001B67E3">
      <w:pPr>
        <w:pStyle w:val="3-normalyaz"/>
        <w:ind w:firstLine="567"/>
        <w:rPr>
          <w:bCs/>
          <w:sz w:val="22"/>
          <w:szCs w:val="22"/>
        </w:rPr>
      </w:pPr>
      <w:r w:rsidRPr="00C15AD3">
        <w:rPr>
          <w:b/>
          <w:bCs/>
          <w:sz w:val="22"/>
          <w:szCs w:val="22"/>
        </w:rPr>
        <w:t xml:space="preserve">MADDE 2 – </w:t>
      </w:r>
      <w:r w:rsidRPr="00C15AD3">
        <w:rPr>
          <w:bCs/>
          <w:sz w:val="22"/>
          <w:szCs w:val="22"/>
        </w:rPr>
        <w:t>(1)</w:t>
      </w:r>
      <w:r w:rsidRPr="00C15AD3">
        <w:rPr>
          <w:b/>
          <w:bCs/>
          <w:sz w:val="22"/>
          <w:szCs w:val="22"/>
        </w:rPr>
        <w:t xml:space="preserve"> </w:t>
      </w:r>
      <w:r w:rsidR="00A91D80" w:rsidRPr="00C15AD3">
        <w:rPr>
          <w:bCs/>
          <w:sz w:val="22"/>
          <w:szCs w:val="22"/>
        </w:rPr>
        <w:t xml:space="preserve">Bu </w:t>
      </w:r>
      <w:r w:rsidR="00F10E50" w:rsidRPr="00C15AD3">
        <w:rPr>
          <w:bCs/>
          <w:sz w:val="22"/>
          <w:szCs w:val="22"/>
        </w:rPr>
        <w:t>U</w:t>
      </w:r>
      <w:r w:rsidRPr="00C15AD3">
        <w:rPr>
          <w:bCs/>
          <w:sz w:val="22"/>
          <w:szCs w:val="22"/>
        </w:rPr>
        <w:t xml:space="preserve">ygulama </w:t>
      </w:r>
      <w:r w:rsidR="00181784" w:rsidRPr="00C15AD3">
        <w:rPr>
          <w:bCs/>
          <w:sz w:val="22"/>
          <w:szCs w:val="22"/>
        </w:rPr>
        <w:t xml:space="preserve">Esasları </w:t>
      </w:r>
      <w:r w:rsidR="00691C1B">
        <w:rPr>
          <w:bCs/>
          <w:sz w:val="22"/>
          <w:szCs w:val="22"/>
        </w:rPr>
        <w:t>Sağlık Bilimleri</w:t>
      </w:r>
      <w:r w:rsidR="00D8156F" w:rsidRPr="00C15AD3">
        <w:rPr>
          <w:sz w:val="22"/>
          <w:szCs w:val="22"/>
        </w:rPr>
        <w:t xml:space="preserve"> </w:t>
      </w:r>
      <w:r w:rsidR="00F73209">
        <w:rPr>
          <w:sz w:val="22"/>
          <w:szCs w:val="22"/>
        </w:rPr>
        <w:t>Fakültesinde</w:t>
      </w:r>
      <w:r w:rsidR="00D8156F" w:rsidRPr="00C15AD3">
        <w:rPr>
          <w:bCs/>
          <w:sz w:val="22"/>
          <w:szCs w:val="22"/>
        </w:rPr>
        <w:t xml:space="preserve"> </w:t>
      </w:r>
      <w:r w:rsidRPr="00C15AD3">
        <w:rPr>
          <w:bCs/>
          <w:sz w:val="22"/>
          <w:szCs w:val="22"/>
        </w:rPr>
        <w:t xml:space="preserve">eğitim-öğretim </w:t>
      </w:r>
      <w:r w:rsidR="00CC0ADA" w:rsidRPr="00C15AD3">
        <w:rPr>
          <w:bCs/>
          <w:sz w:val="22"/>
          <w:szCs w:val="22"/>
        </w:rPr>
        <w:t>yapılan lisans programlarını</w:t>
      </w:r>
      <w:r w:rsidRPr="00C15AD3">
        <w:rPr>
          <w:bCs/>
          <w:sz w:val="22"/>
          <w:szCs w:val="22"/>
        </w:rPr>
        <w:t xml:space="preserve"> kapsar. </w:t>
      </w:r>
    </w:p>
    <w:p w14:paraId="504E8232" w14:textId="77777777" w:rsidR="002213DC" w:rsidRPr="00C15AD3" w:rsidRDefault="002213DC" w:rsidP="001B67E3">
      <w:pPr>
        <w:pStyle w:val="3-normalyaz"/>
        <w:ind w:firstLine="567"/>
        <w:rPr>
          <w:b/>
          <w:bCs/>
          <w:sz w:val="22"/>
          <w:szCs w:val="22"/>
        </w:rPr>
      </w:pPr>
      <w:r w:rsidRPr="00C15AD3">
        <w:rPr>
          <w:b/>
          <w:bCs/>
          <w:sz w:val="22"/>
          <w:szCs w:val="22"/>
        </w:rPr>
        <w:t xml:space="preserve">Eğitim-öğretim </w:t>
      </w:r>
    </w:p>
    <w:p w14:paraId="6EE59BD1" w14:textId="77777777" w:rsidR="00453B8D" w:rsidRDefault="002213DC" w:rsidP="001B67E3">
      <w:pPr>
        <w:shd w:val="clear" w:color="auto" w:fill="FFFFFF"/>
        <w:ind w:firstLine="567"/>
        <w:jc w:val="both"/>
        <w:rPr>
          <w:bCs/>
          <w:sz w:val="22"/>
          <w:szCs w:val="22"/>
          <w:lang w:bidi="ar-SA"/>
        </w:rPr>
      </w:pPr>
      <w:r w:rsidRPr="00C15AD3">
        <w:rPr>
          <w:b/>
          <w:bCs/>
          <w:sz w:val="22"/>
          <w:szCs w:val="22"/>
        </w:rPr>
        <w:t>MADDE 3 –</w:t>
      </w:r>
      <w:r w:rsidRPr="00C15AD3">
        <w:rPr>
          <w:bCs/>
          <w:sz w:val="22"/>
          <w:szCs w:val="22"/>
        </w:rPr>
        <w:t xml:space="preserve"> (1) </w:t>
      </w:r>
      <w:r w:rsidRPr="00C15AD3">
        <w:rPr>
          <w:bCs/>
          <w:sz w:val="22"/>
          <w:szCs w:val="22"/>
          <w:lang w:bidi="ar-SA"/>
        </w:rPr>
        <w:t>Uygulamalı derslerde başarı kriterleri</w:t>
      </w:r>
      <w:r w:rsidR="00453B8D">
        <w:rPr>
          <w:bCs/>
          <w:sz w:val="22"/>
          <w:szCs w:val="22"/>
          <w:lang w:bidi="ar-SA"/>
        </w:rPr>
        <w:t>,</w:t>
      </w:r>
      <w:r w:rsidRPr="00C15AD3">
        <w:rPr>
          <w:bCs/>
          <w:sz w:val="22"/>
          <w:szCs w:val="22"/>
          <w:lang w:bidi="ar-SA"/>
        </w:rPr>
        <w:t xml:space="preserve"> teorik derslerdeki başarı kriterleri</w:t>
      </w:r>
      <w:r w:rsidR="00453B8D">
        <w:rPr>
          <w:bCs/>
          <w:sz w:val="22"/>
          <w:szCs w:val="22"/>
          <w:lang w:bidi="ar-SA"/>
        </w:rPr>
        <w:t>dir.</w:t>
      </w:r>
    </w:p>
    <w:p w14:paraId="79979117" w14:textId="56B02799" w:rsidR="002213DC" w:rsidRPr="00C15AD3" w:rsidRDefault="002213DC" w:rsidP="001B67E3">
      <w:pPr>
        <w:shd w:val="clear" w:color="auto" w:fill="FFFFFF"/>
        <w:ind w:firstLine="567"/>
        <w:jc w:val="both"/>
        <w:rPr>
          <w:bCs/>
          <w:sz w:val="22"/>
          <w:szCs w:val="22"/>
          <w:lang w:bidi="ar-SA"/>
        </w:rPr>
      </w:pPr>
      <w:r w:rsidRPr="00C15AD3">
        <w:rPr>
          <w:bCs/>
          <w:sz w:val="22"/>
          <w:szCs w:val="22"/>
          <w:lang w:bidi="ar-SA"/>
        </w:rPr>
        <w:t>(2) Uzaktan eğitim</w:t>
      </w:r>
      <w:r w:rsidR="00101D49" w:rsidRPr="00C15AD3">
        <w:rPr>
          <w:bCs/>
          <w:sz w:val="22"/>
          <w:szCs w:val="22"/>
          <w:lang w:bidi="ar-SA"/>
        </w:rPr>
        <w:t xml:space="preserve"> ile verilecek dersler ile ilgili süreçler</w:t>
      </w:r>
      <w:r w:rsidR="000309A9">
        <w:rPr>
          <w:bCs/>
          <w:sz w:val="22"/>
          <w:szCs w:val="22"/>
          <w:lang w:bidi="ar-SA"/>
        </w:rPr>
        <w:t>,</w:t>
      </w:r>
      <w:r w:rsidR="00101D49" w:rsidRPr="00C15AD3">
        <w:rPr>
          <w:bCs/>
          <w:sz w:val="22"/>
          <w:szCs w:val="22"/>
          <w:lang w:bidi="ar-SA"/>
        </w:rPr>
        <w:t xml:space="preserve"> Uzaktan </w:t>
      </w:r>
      <w:r w:rsidR="000309A9">
        <w:rPr>
          <w:bCs/>
          <w:sz w:val="22"/>
          <w:szCs w:val="22"/>
          <w:lang w:bidi="ar-SA"/>
        </w:rPr>
        <w:t>E</w:t>
      </w:r>
      <w:r w:rsidR="00101D49" w:rsidRPr="00C15AD3">
        <w:rPr>
          <w:bCs/>
          <w:sz w:val="22"/>
          <w:szCs w:val="22"/>
          <w:lang w:bidi="ar-SA"/>
        </w:rPr>
        <w:t>ğitim Uygulama ve Araştırma Merkezi Müdürlüğü tarafından belirlenecek ilke, kapsam ve koşullarda yürütülecektir.</w:t>
      </w:r>
    </w:p>
    <w:p w14:paraId="46A61C69" w14:textId="77777777" w:rsidR="00917DF7" w:rsidRPr="00C15AD3" w:rsidRDefault="008511D6" w:rsidP="001B67E3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C15AD3">
        <w:rPr>
          <w:b/>
          <w:sz w:val="22"/>
          <w:szCs w:val="22"/>
        </w:rPr>
        <w:t>Öğretim programları</w:t>
      </w:r>
    </w:p>
    <w:p w14:paraId="6D9CC820" w14:textId="2200DC3C" w:rsidR="00917DF7" w:rsidRPr="00C15AD3" w:rsidRDefault="008511D6" w:rsidP="001B67E3">
      <w:pPr>
        <w:shd w:val="clear" w:color="auto" w:fill="FFFFFF"/>
        <w:ind w:firstLine="567"/>
        <w:jc w:val="both"/>
        <w:rPr>
          <w:sz w:val="22"/>
          <w:szCs w:val="22"/>
        </w:rPr>
      </w:pPr>
      <w:r w:rsidRPr="00C15AD3">
        <w:rPr>
          <w:b/>
          <w:sz w:val="22"/>
          <w:szCs w:val="22"/>
        </w:rPr>
        <w:t xml:space="preserve">MADDE </w:t>
      </w:r>
      <w:r w:rsidR="002213DC" w:rsidRPr="00C15AD3">
        <w:rPr>
          <w:b/>
          <w:sz w:val="22"/>
          <w:szCs w:val="22"/>
        </w:rPr>
        <w:t>4</w:t>
      </w:r>
      <w:r w:rsidRPr="00C15AD3">
        <w:rPr>
          <w:sz w:val="22"/>
          <w:szCs w:val="22"/>
        </w:rPr>
        <w:t xml:space="preserve"> - </w:t>
      </w:r>
      <w:r w:rsidR="003D0519" w:rsidRPr="00C15AD3">
        <w:rPr>
          <w:sz w:val="22"/>
          <w:szCs w:val="22"/>
        </w:rPr>
        <w:t>(</w:t>
      </w:r>
      <w:r w:rsidR="00CC0ADA" w:rsidRPr="00C15AD3">
        <w:rPr>
          <w:sz w:val="22"/>
          <w:szCs w:val="22"/>
        </w:rPr>
        <w:t xml:space="preserve">1) </w:t>
      </w:r>
      <w:r w:rsidR="00F73209">
        <w:rPr>
          <w:bCs/>
          <w:sz w:val="22"/>
          <w:szCs w:val="22"/>
        </w:rPr>
        <w:t>Dekanlık</w:t>
      </w:r>
      <w:r w:rsidR="00B14F8E" w:rsidRPr="00C15AD3">
        <w:rPr>
          <w:bCs/>
          <w:sz w:val="22"/>
          <w:szCs w:val="22"/>
        </w:rPr>
        <w:t xml:space="preserve"> bünyesinde yürütülen </w:t>
      </w:r>
      <w:r w:rsidR="00CC0ADA" w:rsidRPr="00C15AD3">
        <w:rPr>
          <w:sz w:val="22"/>
          <w:szCs w:val="22"/>
        </w:rPr>
        <w:t xml:space="preserve">programlarda </w:t>
      </w:r>
      <w:r w:rsidR="003D0519" w:rsidRPr="00C15AD3">
        <w:rPr>
          <w:sz w:val="22"/>
          <w:szCs w:val="22"/>
        </w:rPr>
        <w:t xml:space="preserve">okutulacak olan </w:t>
      </w:r>
      <w:r w:rsidR="00F73209">
        <w:rPr>
          <w:sz w:val="22"/>
          <w:szCs w:val="22"/>
        </w:rPr>
        <w:t>dört</w:t>
      </w:r>
      <w:r w:rsidR="00712B60" w:rsidRPr="00C15AD3">
        <w:rPr>
          <w:sz w:val="22"/>
          <w:szCs w:val="22"/>
        </w:rPr>
        <w:t xml:space="preserve"> yıllık </w:t>
      </w:r>
      <w:r w:rsidR="00CC0ADA" w:rsidRPr="00C15AD3">
        <w:rPr>
          <w:sz w:val="22"/>
          <w:szCs w:val="22"/>
        </w:rPr>
        <w:t xml:space="preserve">lisans </w:t>
      </w:r>
      <w:r w:rsidR="003D0519" w:rsidRPr="00C15AD3">
        <w:rPr>
          <w:sz w:val="22"/>
          <w:szCs w:val="22"/>
        </w:rPr>
        <w:t xml:space="preserve">ders </w:t>
      </w:r>
      <w:r w:rsidR="00053AB5" w:rsidRPr="00C15AD3">
        <w:rPr>
          <w:sz w:val="22"/>
          <w:szCs w:val="22"/>
        </w:rPr>
        <w:t xml:space="preserve">(müfredat) </w:t>
      </w:r>
      <w:r w:rsidR="003D0519" w:rsidRPr="00C15AD3">
        <w:rPr>
          <w:sz w:val="22"/>
          <w:szCs w:val="22"/>
        </w:rPr>
        <w:t xml:space="preserve">programları </w:t>
      </w:r>
      <w:r w:rsidR="003D0519" w:rsidRPr="000309A9">
        <w:rPr>
          <w:sz w:val="22"/>
          <w:szCs w:val="22"/>
        </w:rPr>
        <w:t>ilişikte</w:t>
      </w:r>
      <w:r w:rsidR="003D0519" w:rsidRPr="00C15AD3">
        <w:rPr>
          <w:sz w:val="22"/>
          <w:szCs w:val="22"/>
        </w:rPr>
        <w:t xml:space="preserve"> belirtildiği gibidir.</w:t>
      </w:r>
    </w:p>
    <w:p w14:paraId="32B6679D" w14:textId="736BC81E" w:rsidR="00813737" w:rsidRPr="00C15AD3" w:rsidRDefault="00813737" w:rsidP="001B67E3">
      <w:pPr>
        <w:shd w:val="clear" w:color="auto" w:fill="FFFFFF"/>
        <w:ind w:firstLine="567"/>
        <w:jc w:val="both"/>
        <w:rPr>
          <w:sz w:val="22"/>
          <w:szCs w:val="22"/>
        </w:rPr>
      </w:pPr>
      <w:r w:rsidRPr="00C15AD3">
        <w:rPr>
          <w:sz w:val="22"/>
          <w:szCs w:val="22"/>
        </w:rPr>
        <w:t xml:space="preserve">(2)  </w:t>
      </w:r>
      <w:r w:rsidR="00F73209">
        <w:rPr>
          <w:bCs/>
          <w:sz w:val="22"/>
          <w:szCs w:val="22"/>
        </w:rPr>
        <w:t>Dekanlık</w:t>
      </w:r>
      <w:r w:rsidRPr="00C15AD3">
        <w:rPr>
          <w:bCs/>
          <w:sz w:val="22"/>
          <w:szCs w:val="22"/>
        </w:rPr>
        <w:t xml:space="preserve"> bünyesinde yürütülen programlardan </w:t>
      </w:r>
      <w:r w:rsidRPr="00C15AD3">
        <w:rPr>
          <w:sz w:val="22"/>
          <w:szCs w:val="22"/>
        </w:rPr>
        <w:t xml:space="preserve">mezun olabilmek için gerekli ulusal kredi ve AKTS kredi miktarları </w:t>
      </w:r>
      <w:r w:rsidR="00772494" w:rsidRPr="00C15AD3">
        <w:rPr>
          <w:sz w:val="22"/>
          <w:szCs w:val="22"/>
        </w:rPr>
        <w:t xml:space="preserve">ile seçmeli ders AKTS değerleri </w:t>
      </w:r>
      <w:r w:rsidRPr="00C15AD3">
        <w:rPr>
          <w:sz w:val="22"/>
          <w:szCs w:val="22"/>
        </w:rPr>
        <w:t xml:space="preserve">aşağıdaki tabloda belirtilmiştir. </w:t>
      </w:r>
    </w:p>
    <w:tbl>
      <w:tblPr>
        <w:tblStyle w:val="TabloKlavuzu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9"/>
        <w:gridCol w:w="938"/>
        <w:gridCol w:w="816"/>
        <w:gridCol w:w="1353"/>
        <w:gridCol w:w="1386"/>
        <w:gridCol w:w="1417"/>
      </w:tblGrid>
      <w:tr w:rsidR="00CA303A" w:rsidRPr="00B55FD8" w14:paraId="016FE1E8" w14:textId="77777777" w:rsidTr="00F73209">
        <w:trPr>
          <w:jc w:val="center"/>
        </w:trPr>
        <w:tc>
          <w:tcPr>
            <w:tcW w:w="3729" w:type="dxa"/>
            <w:vAlign w:val="center"/>
          </w:tcPr>
          <w:p w14:paraId="1AB1D2C5" w14:textId="77777777" w:rsidR="00CA303A" w:rsidRPr="00B55FD8" w:rsidRDefault="00CA303A" w:rsidP="003E5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FD8">
              <w:rPr>
                <w:rFonts w:ascii="Times New Roman" w:hAnsi="Times New Roman" w:cs="Times New Roman"/>
                <w:b/>
              </w:rPr>
              <w:t>PROGRAM ADI</w:t>
            </w:r>
          </w:p>
        </w:tc>
        <w:tc>
          <w:tcPr>
            <w:tcW w:w="938" w:type="dxa"/>
            <w:vAlign w:val="center"/>
          </w:tcPr>
          <w:p w14:paraId="32EF9626" w14:textId="77777777" w:rsidR="00CA303A" w:rsidRPr="00B55FD8" w:rsidRDefault="00CA303A" w:rsidP="003E5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FD8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816" w:type="dxa"/>
            <w:vAlign w:val="center"/>
          </w:tcPr>
          <w:p w14:paraId="2C600DB1" w14:textId="77777777" w:rsidR="00CA303A" w:rsidRPr="00B55FD8" w:rsidRDefault="00CA303A" w:rsidP="003E5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FD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353" w:type="dxa"/>
            <w:vAlign w:val="center"/>
          </w:tcPr>
          <w:p w14:paraId="7BFA09A0" w14:textId="7F01D8F4" w:rsidR="00CA303A" w:rsidRPr="00B55FD8" w:rsidRDefault="00CA303A" w:rsidP="003E5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FD8">
              <w:rPr>
                <w:rFonts w:ascii="Times New Roman" w:hAnsi="Times New Roman" w:cs="Times New Roman"/>
                <w:b/>
              </w:rPr>
              <w:t xml:space="preserve">Seçmeli Derslerin (ÜSD Dahil) </w:t>
            </w:r>
          </w:p>
          <w:p w14:paraId="42504685" w14:textId="77777777" w:rsidR="00CA303A" w:rsidRPr="00B55FD8" w:rsidRDefault="00CA303A" w:rsidP="003E5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FD8">
              <w:rPr>
                <w:rFonts w:ascii="Times New Roman" w:hAnsi="Times New Roman" w:cs="Times New Roman"/>
                <w:b/>
              </w:rPr>
              <w:t>AKTS Oranı</w:t>
            </w:r>
          </w:p>
        </w:tc>
        <w:tc>
          <w:tcPr>
            <w:tcW w:w="1386" w:type="dxa"/>
          </w:tcPr>
          <w:p w14:paraId="58B44ABA" w14:textId="6D92961D" w:rsidR="00CA303A" w:rsidRPr="00B55FD8" w:rsidRDefault="00CA303A" w:rsidP="003E5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FD8">
              <w:rPr>
                <w:rFonts w:ascii="Times New Roman" w:hAnsi="Times New Roman" w:cs="Times New Roman"/>
                <w:b/>
              </w:rPr>
              <w:t>Uzaktan Eğitim Yoluyla Yapılacak Derslerin</w:t>
            </w:r>
            <w:r w:rsidR="00E83C7E" w:rsidRPr="00B55FD8">
              <w:rPr>
                <w:rFonts w:ascii="Times New Roman" w:hAnsi="Times New Roman" w:cs="Times New Roman"/>
                <w:b/>
              </w:rPr>
              <w:t xml:space="preserve"> AKTS</w:t>
            </w:r>
            <w:r w:rsidRPr="00B55FD8">
              <w:rPr>
                <w:rFonts w:ascii="Times New Roman" w:hAnsi="Times New Roman" w:cs="Times New Roman"/>
                <w:b/>
              </w:rPr>
              <w:t xml:space="preserve"> Oranı</w:t>
            </w:r>
          </w:p>
        </w:tc>
        <w:tc>
          <w:tcPr>
            <w:tcW w:w="1417" w:type="dxa"/>
            <w:vAlign w:val="center"/>
          </w:tcPr>
          <w:p w14:paraId="63ADDF33" w14:textId="54F96C1D" w:rsidR="00CA303A" w:rsidRPr="00B55FD8" w:rsidRDefault="00E83C7E" w:rsidP="003E5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FD8">
              <w:rPr>
                <w:rFonts w:ascii="Times New Roman" w:hAnsi="Times New Roman" w:cs="Times New Roman"/>
                <w:b/>
              </w:rPr>
              <w:t>ÜSD</w:t>
            </w:r>
            <w:r w:rsidR="00CA303A" w:rsidRPr="00B55FD8">
              <w:rPr>
                <w:rFonts w:ascii="Times New Roman" w:hAnsi="Times New Roman" w:cs="Times New Roman"/>
                <w:b/>
              </w:rPr>
              <w:t xml:space="preserve"> Derslerin</w:t>
            </w:r>
            <w:r w:rsidRPr="00B55FD8">
              <w:rPr>
                <w:rFonts w:ascii="Times New Roman" w:hAnsi="Times New Roman" w:cs="Times New Roman"/>
                <w:b/>
              </w:rPr>
              <w:t>in</w:t>
            </w:r>
            <w:r w:rsidR="00CA303A" w:rsidRPr="00B55FD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589599" w14:textId="77777777" w:rsidR="00CA303A" w:rsidRPr="00B55FD8" w:rsidRDefault="00CA303A" w:rsidP="003E5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FD8">
              <w:rPr>
                <w:rFonts w:ascii="Times New Roman" w:hAnsi="Times New Roman" w:cs="Times New Roman"/>
                <w:b/>
              </w:rPr>
              <w:t>AKTS Oranı</w:t>
            </w:r>
          </w:p>
        </w:tc>
      </w:tr>
      <w:tr w:rsidR="00CA303A" w:rsidRPr="00B55FD8" w14:paraId="31431C61" w14:textId="77777777" w:rsidTr="00F73209">
        <w:trPr>
          <w:jc w:val="center"/>
        </w:trPr>
        <w:tc>
          <w:tcPr>
            <w:tcW w:w="3729" w:type="dxa"/>
          </w:tcPr>
          <w:p w14:paraId="3C3A3428" w14:textId="49EC6F57" w:rsidR="00CA303A" w:rsidRPr="00B55FD8" w:rsidRDefault="00691C1B" w:rsidP="0059771B">
            <w:pPr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938" w:type="dxa"/>
          </w:tcPr>
          <w:p w14:paraId="1FEFC930" w14:textId="5B4B7A8B" w:rsidR="00CA303A" w:rsidRPr="00B55FD8" w:rsidRDefault="00BA1171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16" w:type="dxa"/>
          </w:tcPr>
          <w:p w14:paraId="4D05EF88" w14:textId="6185C900" w:rsidR="00CA303A" w:rsidRPr="00B55FD8" w:rsidRDefault="001E72EE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3" w:type="dxa"/>
          </w:tcPr>
          <w:p w14:paraId="77C31DFA" w14:textId="5F05A197" w:rsidR="00CA303A" w:rsidRPr="00B55FD8" w:rsidRDefault="00356306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Max %20 (</w:t>
            </w:r>
            <w:r w:rsidR="00BA1171" w:rsidRPr="00B55FD8">
              <w:rPr>
                <w:rFonts w:ascii="Times New Roman" w:hAnsi="Times New Roman" w:cs="Times New Roman"/>
              </w:rPr>
              <w:t>%</w:t>
            </w:r>
            <w:proofErr w:type="gramStart"/>
            <w:r w:rsidR="00BA1171" w:rsidRPr="00B55FD8">
              <w:rPr>
                <w:rFonts w:ascii="Times New Roman" w:hAnsi="Times New Roman" w:cs="Times New Roman"/>
              </w:rPr>
              <w:t>18.7</w:t>
            </w:r>
            <w:proofErr w:type="gramEnd"/>
            <w:r w:rsidRPr="00B55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14:paraId="39AB35F9" w14:textId="77777777" w:rsidR="00DD571A" w:rsidRPr="00B55FD8" w:rsidRDefault="00DD571A" w:rsidP="003E5C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FD8">
              <w:rPr>
                <w:rFonts w:ascii="Times New Roman" w:hAnsi="Times New Roman" w:cs="Times New Roman"/>
              </w:rPr>
              <w:t>Max</w:t>
            </w:r>
            <w:proofErr w:type="spellEnd"/>
            <w:r w:rsidRPr="00B55FD8">
              <w:rPr>
                <w:rFonts w:ascii="Times New Roman" w:hAnsi="Times New Roman" w:cs="Times New Roman"/>
              </w:rPr>
              <w:t xml:space="preserve"> %40</w:t>
            </w:r>
          </w:p>
          <w:p w14:paraId="7DDDD6A9" w14:textId="7842666C" w:rsidR="00CA303A" w:rsidRPr="00B55FD8" w:rsidRDefault="00DD571A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(</w:t>
            </w:r>
            <w:r w:rsidR="00356306" w:rsidRPr="00B55FD8">
              <w:rPr>
                <w:rFonts w:ascii="Times New Roman" w:hAnsi="Times New Roman" w:cs="Times New Roman"/>
              </w:rPr>
              <w:t>%27.5</w:t>
            </w:r>
            <w:r w:rsidRPr="00B55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1361FD67" w14:textId="34C5B871" w:rsidR="00CA303A" w:rsidRPr="00B55FD8" w:rsidRDefault="009B3E28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%6.3</w:t>
            </w:r>
          </w:p>
        </w:tc>
      </w:tr>
      <w:tr w:rsidR="00CA303A" w:rsidRPr="00B55FD8" w14:paraId="6823B3DD" w14:textId="77777777" w:rsidTr="00F73209">
        <w:trPr>
          <w:jc w:val="center"/>
        </w:trPr>
        <w:tc>
          <w:tcPr>
            <w:tcW w:w="3729" w:type="dxa"/>
          </w:tcPr>
          <w:p w14:paraId="76A48569" w14:textId="0E7843EF" w:rsidR="00CA303A" w:rsidRPr="00B55FD8" w:rsidRDefault="00691C1B" w:rsidP="0059771B">
            <w:pPr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938" w:type="dxa"/>
          </w:tcPr>
          <w:p w14:paraId="209EF49F" w14:textId="79A910AB" w:rsidR="00CA303A" w:rsidRPr="00B55FD8" w:rsidRDefault="00BA1171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16" w:type="dxa"/>
          </w:tcPr>
          <w:p w14:paraId="0D1B4BC3" w14:textId="7E92D5DA" w:rsidR="00CA303A" w:rsidRPr="00B55FD8" w:rsidRDefault="001E72EE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3" w:type="dxa"/>
            <w:vAlign w:val="center"/>
          </w:tcPr>
          <w:p w14:paraId="6B361CB4" w14:textId="1EBF8A35" w:rsidR="00CA303A" w:rsidRPr="00B55FD8" w:rsidRDefault="00356306" w:rsidP="003E5C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FD8">
              <w:rPr>
                <w:rFonts w:ascii="Times New Roman" w:hAnsi="Times New Roman" w:cs="Times New Roman"/>
              </w:rPr>
              <w:t>Max</w:t>
            </w:r>
            <w:proofErr w:type="spellEnd"/>
            <w:r w:rsidRPr="00B55FD8">
              <w:rPr>
                <w:rFonts w:ascii="Times New Roman" w:hAnsi="Times New Roman" w:cs="Times New Roman"/>
              </w:rPr>
              <w:t xml:space="preserve"> %20 (</w:t>
            </w:r>
            <w:r w:rsidR="00BA1171" w:rsidRPr="00B55FD8">
              <w:rPr>
                <w:rFonts w:ascii="Times New Roman" w:hAnsi="Times New Roman" w:cs="Times New Roman"/>
              </w:rPr>
              <w:t>%</w:t>
            </w:r>
            <w:proofErr w:type="gramStart"/>
            <w:r w:rsidR="00BA1171" w:rsidRPr="00B55FD8">
              <w:rPr>
                <w:rFonts w:ascii="Times New Roman" w:hAnsi="Times New Roman" w:cs="Times New Roman"/>
              </w:rPr>
              <w:t>17.5</w:t>
            </w:r>
            <w:proofErr w:type="gramEnd"/>
            <w:r w:rsidRPr="00B55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14:paraId="54A26DA6" w14:textId="77777777" w:rsidR="00DD571A" w:rsidRPr="00B55FD8" w:rsidRDefault="00DD571A" w:rsidP="00DD57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FD8">
              <w:rPr>
                <w:rFonts w:ascii="Times New Roman" w:hAnsi="Times New Roman" w:cs="Times New Roman"/>
              </w:rPr>
              <w:t>Max</w:t>
            </w:r>
            <w:proofErr w:type="spellEnd"/>
            <w:r w:rsidRPr="00B55FD8">
              <w:rPr>
                <w:rFonts w:ascii="Times New Roman" w:hAnsi="Times New Roman" w:cs="Times New Roman"/>
              </w:rPr>
              <w:t xml:space="preserve"> %40</w:t>
            </w:r>
          </w:p>
          <w:p w14:paraId="6E44B877" w14:textId="76555025" w:rsidR="00CA303A" w:rsidRPr="00B55FD8" w:rsidRDefault="00DD571A" w:rsidP="00DD571A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 xml:space="preserve"> (</w:t>
            </w:r>
            <w:r w:rsidR="00356306" w:rsidRPr="00B55FD8">
              <w:rPr>
                <w:rFonts w:ascii="Times New Roman" w:hAnsi="Times New Roman" w:cs="Times New Roman"/>
              </w:rPr>
              <w:t>%39.6</w:t>
            </w:r>
            <w:r w:rsidRPr="00B55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15F80D52" w14:textId="5C7DFE5B" w:rsidR="00CA303A" w:rsidRPr="00B55FD8" w:rsidRDefault="009B3E28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%6.3</w:t>
            </w:r>
          </w:p>
        </w:tc>
      </w:tr>
      <w:tr w:rsidR="00691C1B" w:rsidRPr="00B55FD8" w14:paraId="77E29148" w14:textId="77777777" w:rsidTr="00F73209">
        <w:trPr>
          <w:jc w:val="center"/>
        </w:trPr>
        <w:tc>
          <w:tcPr>
            <w:tcW w:w="3729" w:type="dxa"/>
          </w:tcPr>
          <w:p w14:paraId="69C516FA" w14:textId="36D2EDCF" w:rsidR="00691C1B" w:rsidRPr="00B55FD8" w:rsidRDefault="00691C1B" w:rsidP="0059771B">
            <w:pPr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Ebelik</w:t>
            </w:r>
          </w:p>
        </w:tc>
        <w:tc>
          <w:tcPr>
            <w:tcW w:w="938" w:type="dxa"/>
          </w:tcPr>
          <w:p w14:paraId="490F52A1" w14:textId="65F158B8" w:rsidR="00691C1B" w:rsidRPr="00B55FD8" w:rsidRDefault="00BA1171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16" w:type="dxa"/>
          </w:tcPr>
          <w:p w14:paraId="6BE1D436" w14:textId="54E84647" w:rsidR="00691C1B" w:rsidRPr="00B55FD8" w:rsidRDefault="00DB4251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3" w:type="dxa"/>
            <w:vAlign w:val="center"/>
          </w:tcPr>
          <w:p w14:paraId="519700C5" w14:textId="07B2A9AD" w:rsidR="00691C1B" w:rsidRPr="00B55FD8" w:rsidRDefault="00356306" w:rsidP="003E5C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FD8">
              <w:rPr>
                <w:rFonts w:ascii="Times New Roman" w:hAnsi="Times New Roman" w:cs="Times New Roman"/>
              </w:rPr>
              <w:t>Max</w:t>
            </w:r>
            <w:proofErr w:type="spellEnd"/>
            <w:r w:rsidRPr="00B55FD8">
              <w:rPr>
                <w:rFonts w:ascii="Times New Roman" w:hAnsi="Times New Roman" w:cs="Times New Roman"/>
              </w:rPr>
              <w:t xml:space="preserve"> %20 (</w:t>
            </w:r>
            <w:r w:rsidR="00BA1171" w:rsidRPr="00B55FD8">
              <w:rPr>
                <w:rFonts w:ascii="Times New Roman" w:hAnsi="Times New Roman" w:cs="Times New Roman"/>
              </w:rPr>
              <w:t>%</w:t>
            </w:r>
            <w:proofErr w:type="gramStart"/>
            <w:r w:rsidR="00BA1171" w:rsidRPr="00B55FD8">
              <w:rPr>
                <w:rFonts w:ascii="Times New Roman" w:hAnsi="Times New Roman" w:cs="Times New Roman"/>
              </w:rPr>
              <w:t>11.2</w:t>
            </w:r>
            <w:proofErr w:type="gramEnd"/>
            <w:r w:rsidRPr="00B55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14:paraId="322D4668" w14:textId="77777777" w:rsidR="00DD571A" w:rsidRPr="00B55FD8" w:rsidRDefault="00DD571A" w:rsidP="00DD57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FD8">
              <w:rPr>
                <w:rFonts w:ascii="Times New Roman" w:hAnsi="Times New Roman" w:cs="Times New Roman"/>
              </w:rPr>
              <w:t>Max</w:t>
            </w:r>
            <w:proofErr w:type="spellEnd"/>
            <w:r w:rsidRPr="00B55FD8">
              <w:rPr>
                <w:rFonts w:ascii="Times New Roman" w:hAnsi="Times New Roman" w:cs="Times New Roman"/>
              </w:rPr>
              <w:t xml:space="preserve"> %40</w:t>
            </w:r>
          </w:p>
          <w:p w14:paraId="290567CD" w14:textId="0DF2DF6C" w:rsidR="00691C1B" w:rsidRPr="00B55FD8" w:rsidRDefault="00DD571A" w:rsidP="00DD571A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 xml:space="preserve"> (</w:t>
            </w:r>
            <w:r w:rsidR="00356306" w:rsidRPr="00B55FD8">
              <w:rPr>
                <w:rFonts w:ascii="Times New Roman" w:hAnsi="Times New Roman" w:cs="Times New Roman"/>
              </w:rPr>
              <w:t>%35.4</w:t>
            </w:r>
            <w:r w:rsidRPr="00B55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4F6BDBF8" w14:textId="6893D148" w:rsidR="00691C1B" w:rsidRPr="00B55FD8" w:rsidRDefault="009B3E28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%6.3</w:t>
            </w:r>
          </w:p>
        </w:tc>
      </w:tr>
      <w:tr w:rsidR="00691C1B" w:rsidRPr="00B55FD8" w14:paraId="4BA6F65C" w14:textId="77777777" w:rsidTr="00F73209">
        <w:trPr>
          <w:jc w:val="center"/>
        </w:trPr>
        <w:tc>
          <w:tcPr>
            <w:tcW w:w="3729" w:type="dxa"/>
          </w:tcPr>
          <w:p w14:paraId="5288C5BA" w14:textId="5F4608D4" w:rsidR="00691C1B" w:rsidRPr="00B55FD8" w:rsidRDefault="00691C1B" w:rsidP="0059771B">
            <w:pPr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Fizyoterapi ve Rehabilitasyon</w:t>
            </w:r>
          </w:p>
        </w:tc>
        <w:tc>
          <w:tcPr>
            <w:tcW w:w="938" w:type="dxa"/>
          </w:tcPr>
          <w:p w14:paraId="64165FE9" w14:textId="76E57A8F" w:rsidR="00691C1B" w:rsidRPr="00B55FD8" w:rsidRDefault="00BA1171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16" w:type="dxa"/>
          </w:tcPr>
          <w:p w14:paraId="496A6AB3" w14:textId="6DDCEFD3" w:rsidR="00691C1B" w:rsidRPr="00B55FD8" w:rsidRDefault="00DB4251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3" w:type="dxa"/>
            <w:vAlign w:val="center"/>
          </w:tcPr>
          <w:p w14:paraId="128C34F0" w14:textId="3BB0E10D" w:rsidR="00691C1B" w:rsidRPr="00B55FD8" w:rsidRDefault="00356306" w:rsidP="003E5C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FD8">
              <w:rPr>
                <w:rFonts w:ascii="Times New Roman" w:hAnsi="Times New Roman" w:cs="Times New Roman"/>
              </w:rPr>
              <w:t>Max</w:t>
            </w:r>
            <w:proofErr w:type="spellEnd"/>
            <w:r w:rsidRPr="00B55FD8">
              <w:rPr>
                <w:rFonts w:ascii="Times New Roman" w:hAnsi="Times New Roman" w:cs="Times New Roman"/>
              </w:rPr>
              <w:t xml:space="preserve"> %20 (</w:t>
            </w:r>
            <w:r w:rsidR="00BA1171" w:rsidRPr="00B55FD8">
              <w:rPr>
                <w:rFonts w:ascii="Times New Roman" w:hAnsi="Times New Roman" w:cs="Times New Roman"/>
              </w:rPr>
              <w:t>%20</w:t>
            </w:r>
            <w:r w:rsidRPr="00B55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14:paraId="3971EB55" w14:textId="77777777" w:rsidR="00DD571A" w:rsidRPr="00B55FD8" w:rsidRDefault="00DD571A" w:rsidP="00DD57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FD8">
              <w:rPr>
                <w:rFonts w:ascii="Times New Roman" w:hAnsi="Times New Roman" w:cs="Times New Roman"/>
              </w:rPr>
              <w:t>Max</w:t>
            </w:r>
            <w:proofErr w:type="spellEnd"/>
            <w:r w:rsidRPr="00B55FD8">
              <w:rPr>
                <w:rFonts w:ascii="Times New Roman" w:hAnsi="Times New Roman" w:cs="Times New Roman"/>
              </w:rPr>
              <w:t xml:space="preserve"> %40</w:t>
            </w:r>
          </w:p>
          <w:p w14:paraId="27D7A1D9" w14:textId="625DDF16" w:rsidR="00691C1B" w:rsidRPr="00B55FD8" w:rsidRDefault="00DD571A" w:rsidP="00DD571A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 xml:space="preserve"> (</w:t>
            </w:r>
            <w:r w:rsidR="00356306" w:rsidRPr="00B55FD8">
              <w:rPr>
                <w:rFonts w:ascii="Times New Roman" w:hAnsi="Times New Roman" w:cs="Times New Roman"/>
              </w:rPr>
              <w:t>%20</w:t>
            </w:r>
            <w:r w:rsidRPr="00B55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1668C053" w14:textId="09D0AA66" w:rsidR="00691C1B" w:rsidRPr="00B55FD8" w:rsidRDefault="009B3E28" w:rsidP="003E5C4F">
            <w:pPr>
              <w:jc w:val="center"/>
              <w:rPr>
                <w:rFonts w:ascii="Times New Roman" w:hAnsi="Times New Roman" w:cs="Times New Roman"/>
              </w:rPr>
            </w:pPr>
            <w:r w:rsidRPr="00B55FD8">
              <w:rPr>
                <w:rFonts w:ascii="Times New Roman" w:hAnsi="Times New Roman" w:cs="Times New Roman"/>
              </w:rPr>
              <w:t>%6.3</w:t>
            </w:r>
          </w:p>
        </w:tc>
      </w:tr>
    </w:tbl>
    <w:p w14:paraId="3CB82484" w14:textId="77777777" w:rsidR="00917DF7" w:rsidRPr="00C15AD3" w:rsidRDefault="008511D6" w:rsidP="001B67E3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C15AD3">
        <w:rPr>
          <w:b/>
          <w:sz w:val="22"/>
          <w:szCs w:val="22"/>
        </w:rPr>
        <w:t>Sınavlar</w:t>
      </w:r>
      <w:r w:rsidR="003062DB" w:rsidRPr="00C15AD3">
        <w:rPr>
          <w:b/>
          <w:sz w:val="22"/>
          <w:szCs w:val="22"/>
        </w:rPr>
        <w:t xml:space="preserve"> </w:t>
      </w:r>
    </w:p>
    <w:p w14:paraId="7F5D9FC2" w14:textId="1A18201D" w:rsidR="00917DF7" w:rsidRPr="00C15AD3" w:rsidRDefault="008511D6" w:rsidP="001B67E3">
      <w:pPr>
        <w:shd w:val="clear" w:color="auto" w:fill="FFFFFF"/>
        <w:tabs>
          <w:tab w:val="left" w:leader="dot" w:pos="4877"/>
        </w:tabs>
        <w:ind w:firstLine="567"/>
        <w:jc w:val="both"/>
        <w:rPr>
          <w:sz w:val="22"/>
          <w:szCs w:val="22"/>
        </w:rPr>
      </w:pPr>
      <w:r w:rsidRPr="00C15AD3">
        <w:rPr>
          <w:b/>
          <w:sz w:val="22"/>
          <w:szCs w:val="22"/>
        </w:rPr>
        <w:t xml:space="preserve">MADDE </w:t>
      </w:r>
      <w:r w:rsidR="003E5C4F" w:rsidRPr="00C15AD3">
        <w:rPr>
          <w:b/>
          <w:sz w:val="22"/>
          <w:szCs w:val="22"/>
        </w:rPr>
        <w:t>5</w:t>
      </w:r>
      <w:r w:rsidRPr="00C15AD3">
        <w:rPr>
          <w:b/>
          <w:sz w:val="22"/>
          <w:szCs w:val="22"/>
        </w:rPr>
        <w:t xml:space="preserve"> </w:t>
      </w:r>
      <w:r w:rsidR="009607FF" w:rsidRPr="00C15AD3">
        <w:rPr>
          <w:b/>
          <w:sz w:val="22"/>
          <w:szCs w:val="22"/>
        </w:rPr>
        <w:t>–</w:t>
      </w:r>
      <w:r w:rsidRPr="00C15AD3">
        <w:rPr>
          <w:sz w:val="22"/>
          <w:szCs w:val="22"/>
        </w:rPr>
        <w:t xml:space="preserve"> </w:t>
      </w:r>
      <w:r w:rsidR="00B14F8E" w:rsidRPr="00C15AD3">
        <w:rPr>
          <w:sz w:val="22"/>
          <w:szCs w:val="22"/>
        </w:rPr>
        <w:t>(</w:t>
      </w:r>
      <w:r w:rsidR="00D8156F" w:rsidRPr="00C15AD3">
        <w:rPr>
          <w:sz w:val="22"/>
          <w:szCs w:val="22"/>
        </w:rPr>
        <w:t>1</w:t>
      </w:r>
      <w:r w:rsidR="00B14F8E" w:rsidRPr="00C15AD3">
        <w:rPr>
          <w:sz w:val="22"/>
          <w:szCs w:val="22"/>
        </w:rPr>
        <w:t xml:space="preserve">) Her ders için </w:t>
      </w:r>
      <w:r w:rsidR="00B14F8E" w:rsidRPr="009B3E28">
        <w:rPr>
          <w:sz w:val="22"/>
          <w:szCs w:val="22"/>
        </w:rPr>
        <w:t xml:space="preserve">yarıyılda </w:t>
      </w:r>
      <w:r w:rsidR="002946EC" w:rsidRPr="009B3E28">
        <w:rPr>
          <w:b/>
          <w:sz w:val="22"/>
          <w:szCs w:val="22"/>
        </w:rPr>
        <w:t>1 (bir)</w:t>
      </w:r>
      <w:r w:rsidR="006C3374">
        <w:rPr>
          <w:b/>
          <w:sz w:val="22"/>
          <w:szCs w:val="22"/>
        </w:rPr>
        <w:t xml:space="preserve"> veya 2 (iki)</w:t>
      </w:r>
      <w:r w:rsidR="009B3E28" w:rsidRPr="009B3E28">
        <w:rPr>
          <w:b/>
          <w:sz w:val="22"/>
          <w:szCs w:val="22"/>
        </w:rPr>
        <w:t xml:space="preserve">  </w:t>
      </w:r>
      <w:r w:rsidR="00B14F8E" w:rsidRPr="00C15AD3">
        <w:rPr>
          <w:sz w:val="22"/>
          <w:szCs w:val="22"/>
        </w:rPr>
        <w:t>ara sınav yapılır.</w:t>
      </w:r>
    </w:p>
    <w:p w14:paraId="45C6E471" w14:textId="0C514E5B" w:rsidR="00AC7B07" w:rsidRPr="00C15AD3" w:rsidRDefault="00B14F8E" w:rsidP="001B67E3">
      <w:pPr>
        <w:shd w:val="clear" w:color="auto" w:fill="FFFFFF"/>
        <w:tabs>
          <w:tab w:val="left" w:leader="dot" w:pos="3326"/>
          <w:tab w:val="left" w:leader="dot" w:pos="6994"/>
        </w:tabs>
        <w:ind w:firstLine="567"/>
        <w:jc w:val="both"/>
        <w:rPr>
          <w:sz w:val="22"/>
          <w:szCs w:val="22"/>
        </w:rPr>
      </w:pPr>
      <w:r w:rsidRPr="00C15AD3">
        <w:rPr>
          <w:sz w:val="22"/>
          <w:szCs w:val="22"/>
        </w:rPr>
        <w:t>(</w:t>
      </w:r>
      <w:r w:rsidR="002946EC" w:rsidRPr="00C15AD3">
        <w:rPr>
          <w:sz w:val="22"/>
          <w:szCs w:val="22"/>
        </w:rPr>
        <w:t>2</w:t>
      </w:r>
      <w:r w:rsidRPr="00C15AD3">
        <w:rPr>
          <w:sz w:val="22"/>
          <w:szCs w:val="22"/>
        </w:rPr>
        <w:t>) Derslerin şube veya gruplar halinde yapılması durumunda, sınavlar ve değerlendirmeler</w:t>
      </w:r>
      <w:r w:rsidR="00D8156F" w:rsidRPr="00C15AD3">
        <w:rPr>
          <w:sz w:val="22"/>
          <w:szCs w:val="22"/>
        </w:rPr>
        <w:t xml:space="preserve"> </w:t>
      </w:r>
      <w:r w:rsidR="00D8156F" w:rsidRPr="009B3E28">
        <w:rPr>
          <w:b/>
          <w:sz w:val="22"/>
          <w:szCs w:val="22"/>
        </w:rPr>
        <w:t>ayr</w:t>
      </w:r>
      <w:r w:rsidR="00D8156F" w:rsidRPr="00B55FD8">
        <w:rPr>
          <w:b/>
          <w:sz w:val="22"/>
          <w:szCs w:val="22"/>
        </w:rPr>
        <w:t>ı</w:t>
      </w:r>
      <w:r w:rsidR="00D9725A" w:rsidRPr="00C15AD3">
        <w:rPr>
          <w:sz w:val="22"/>
          <w:szCs w:val="22"/>
        </w:rPr>
        <w:t xml:space="preserve"> yapılır.</w:t>
      </w:r>
    </w:p>
    <w:p w14:paraId="7A368C67" w14:textId="77777777" w:rsidR="00917DF7" w:rsidRPr="00C15AD3" w:rsidRDefault="00D8156F" w:rsidP="001B67E3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C15AD3">
        <w:rPr>
          <w:b/>
          <w:sz w:val="22"/>
          <w:szCs w:val="22"/>
        </w:rPr>
        <w:t xml:space="preserve">Başarı notu </w:t>
      </w:r>
      <w:r w:rsidR="00AC7B07" w:rsidRPr="00C15AD3">
        <w:rPr>
          <w:b/>
          <w:sz w:val="22"/>
          <w:szCs w:val="22"/>
        </w:rPr>
        <w:t>ve hesaplanması</w:t>
      </w:r>
    </w:p>
    <w:p w14:paraId="19B544F4" w14:textId="51F190A8" w:rsidR="00D8156F" w:rsidRPr="00C15AD3" w:rsidRDefault="00D8156F" w:rsidP="001B67E3">
      <w:pPr>
        <w:shd w:val="clear" w:color="auto" w:fill="FFFFFF"/>
        <w:tabs>
          <w:tab w:val="left" w:leader="dot" w:pos="3326"/>
          <w:tab w:val="left" w:leader="dot" w:pos="6994"/>
        </w:tabs>
        <w:ind w:firstLine="567"/>
        <w:jc w:val="both"/>
        <w:rPr>
          <w:sz w:val="22"/>
          <w:szCs w:val="22"/>
        </w:rPr>
      </w:pPr>
      <w:r w:rsidRPr="00C15AD3">
        <w:rPr>
          <w:b/>
          <w:sz w:val="22"/>
          <w:szCs w:val="22"/>
        </w:rPr>
        <w:t xml:space="preserve">MADDE </w:t>
      </w:r>
      <w:r w:rsidR="003E5C4F" w:rsidRPr="00C15AD3">
        <w:rPr>
          <w:b/>
          <w:sz w:val="22"/>
          <w:szCs w:val="22"/>
        </w:rPr>
        <w:t>6</w:t>
      </w:r>
      <w:r w:rsidRPr="00C15AD3">
        <w:rPr>
          <w:sz w:val="22"/>
          <w:szCs w:val="22"/>
        </w:rPr>
        <w:t xml:space="preserve"> –  (1) Bir derse ait ham notun hesaplanmasında; ara sınavların ortalamasının etkisi </w:t>
      </w:r>
      <w:r w:rsidR="009B3E28" w:rsidRPr="006C3374">
        <w:rPr>
          <w:b/>
          <w:sz w:val="22"/>
          <w:szCs w:val="22"/>
        </w:rPr>
        <w:t>%50</w:t>
      </w:r>
      <w:r w:rsidR="005C5A44" w:rsidRPr="006C3374">
        <w:rPr>
          <w:b/>
          <w:sz w:val="22"/>
          <w:szCs w:val="22"/>
        </w:rPr>
        <w:t>,</w:t>
      </w:r>
      <w:r w:rsidR="005C5A44" w:rsidRPr="006C3374">
        <w:rPr>
          <w:sz w:val="22"/>
          <w:szCs w:val="22"/>
        </w:rPr>
        <w:t xml:space="preserve"> </w:t>
      </w:r>
      <w:r w:rsidRPr="006C3374">
        <w:rPr>
          <w:sz w:val="22"/>
          <w:szCs w:val="22"/>
        </w:rPr>
        <w:t>yarıyıl sonu</w:t>
      </w:r>
      <w:r w:rsidR="00C959CB" w:rsidRPr="006C3374">
        <w:rPr>
          <w:sz w:val="22"/>
          <w:szCs w:val="22"/>
        </w:rPr>
        <w:t xml:space="preserve"> / bütün</w:t>
      </w:r>
      <w:r w:rsidR="00EC1A10" w:rsidRPr="006C3374">
        <w:rPr>
          <w:sz w:val="22"/>
          <w:szCs w:val="22"/>
        </w:rPr>
        <w:t>l</w:t>
      </w:r>
      <w:r w:rsidR="00C959CB" w:rsidRPr="006C3374">
        <w:rPr>
          <w:sz w:val="22"/>
          <w:szCs w:val="22"/>
        </w:rPr>
        <w:t>eme</w:t>
      </w:r>
      <w:r w:rsidRPr="006C3374">
        <w:rPr>
          <w:sz w:val="22"/>
          <w:szCs w:val="22"/>
        </w:rPr>
        <w:t xml:space="preserve"> sınavının etkisi </w:t>
      </w:r>
      <w:r w:rsidRPr="006C3374">
        <w:rPr>
          <w:b/>
          <w:sz w:val="22"/>
          <w:szCs w:val="22"/>
        </w:rPr>
        <w:t>%</w:t>
      </w:r>
      <w:r w:rsidR="00B55FD8" w:rsidRPr="006C3374">
        <w:rPr>
          <w:b/>
          <w:sz w:val="22"/>
          <w:szCs w:val="22"/>
        </w:rPr>
        <w:t>50</w:t>
      </w:r>
      <w:r w:rsidRPr="006C3374">
        <w:rPr>
          <w:b/>
          <w:sz w:val="22"/>
          <w:szCs w:val="22"/>
        </w:rPr>
        <w:t>’</w:t>
      </w:r>
      <w:r w:rsidRPr="006C3374">
        <w:rPr>
          <w:sz w:val="22"/>
          <w:szCs w:val="22"/>
        </w:rPr>
        <w:t>d</w:t>
      </w:r>
      <w:r w:rsidR="0059771B" w:rsidRPr="006C3374">
        <w:rPr>
          <w:sz w:val="22"/>
          <w:szCs w:val="22"/>
        </w:rPr>
        <w:t>i</w:t>
      </w:r>
      <w:r w:rsidRPr="006C3374">
        <w:rPr>
          <w:sz w:val="22"/>
          <w:szCs w:val="22"/>
        </w:rPr>
        <w:t>r.</w:t>
      </w:r>
    </w:p>
    <w:p w14:paraId="5A231018" w14:textId="77777777" w:rsidR="00917DF7" w:rsidRPr="00C15AD3" w:rsidRDefault="00053AB5" w:rsidP="001B67E3">
      <w:pPr>
        <w:shd w:val="clear" w:color="auto" w:fill="FFFFFF"/>
        <w:tabs>
          <w:tab w:val="left" w:leader="dot" w:pos="3326"/>
          <w:tab w:val="left" w:leader="dot" w:pos="6994"/>
        </w:tabs>
        <w:ind w:firstLine="567"/>
        <w:jc w:val="both"/>
        <w:rPr>
          <w:sz w:val="22"/>
          <w:szCs w:val="22"/>
        </w:rPr>
      </w:pPr>
      <w:r w:rsidRPr="00C15AD3">
        <w:rPr>
          <w:sz w:val="22"/>
          <w:szCs w:val="22"/>
        </w:rPr>
        <w:t>(2) Öğrencilerin başarı notunun hesaplanmasında bağıl değerlendirme sistemi uygulanır.</w:t>
      </w:r>
    </w:p>
    <w:p w14:paraId="0E2D3F30" w14:textId="77777777" w:rsidR="00917DF7" w:rsidRPr="00C15AD3" w:rsidRDefault="00053AB5" w:rsidP="001B67E3">
      <w:pPr>
        <w:shd w:val="clear" w:color="auto" w:fill="FFFFFF"/>
        <w:tabs>
          <w:tab w:val="left" w:leader="dot" w:pos="3326"/>
          <w:tab w:val="left" w:leader="dot" w:pos="6994"/>
        </w:tabs>
        <w:ind w:firstLine="567"/>
        <w:jc w:val="both"/>
        <w:rPr>
          <w:sz w:val="22"/>
          <w:szCs w:val="22"/>
        </w:rPr>
      </w:pPr>
      <w:r w:rsidRPr="00C15AD3">
        <w:rPr>
          <w:sz w:val="22"/>
          <w:szCs w:val="22"/>
        </w:rPr>
        <w:t>(3) Bağıl değerlendirme sistemi aşağıdaki esaslara göre uygulanır;</w:t>
      </w:r>
    </w:p>
    <w:p w14:paraId="78DDDF70" w14:textId="3C1E6C33" w:rsidR="00053AB5" w:rsidRPr="00C15AD3" w:rsidRDefault="00053AB5" w:rsidP="001B67E3">
      <w:pPr>
        <w:shd w:val="clear" w:color="auto" w:fill="FFFFFF"/>
        <w:tabs>
          <w:tab w:val="left" w:leader="dot" w:pos="3326"/>
          <w:tab w:val="left" w:leader="dot" w:pos="6994"/>
        </w:tabs>
        <w:ind w:firstLine="567"/>
        <w:jc w:val="both"/>
        <w:rPr>
          <w:sz w:val="22"/>
          <w:szCs w:val="22"/>
        </w:rPr>
      </w:pPr>
      <w:r w:rsidRPr="00C15AD3">
        <w:rPr>
          <w:sz w:val="22"/>
          <w:szCs w:val="22"/>
        </w:rPr>
        <w:t>a</w:t>
      </w:r>
      <w:r w:rsidR="00D9725A" w:rsidRPr="00C15AD3">
        <w:rPr>
          <w:sz w:val="22"/>
          <w:szCs w:val="22"/>
        </w:rPr>
        <w:t xml:space="preserve">) Ham Başarı Alt Limiti (HBAL) </w:t>
      </w:r>
      <w:r w:rsidR="00B55FD8">
        <w:rPr>
          <w:b/>
          <w:sz w:val="22"/>
          <w:szCs w:val="22"/>
        </w:rPr>
        <w:t>50</w:t>
      </w:r>
      <w:r w:rsidR="00CF1AE1" w:rsidRPr="00C15AD3">
        <w:rPr>
          <w:sz w:val="22"/>
          <w:szCs w:val="22"/>
        </w:rPr>
        <w:t xml:space="preserve"> </w:t>
      </w:r>
      <w:r w:rsidR="00444392" w:rsidRPr="00C15AD3">
        <w:rPr>
          <w:sz w:val="22"/>
          <w:szCs w:val="22"/>
        </w:rPr>
        <w:t>puan</w:t>
      </w:r>
      <w:r w:rsidRPr="00C15AD3">
        <w:rPr>
          <w:sz w:val="22"/>
          <w:szCs w:val="22"/>
        </w:rPr>
        <w:t xml:space="preserve">dır. Ham başarı puanları </w:t>
      </w:r>
      <w:proofErr w:type="spellStart"/>
      <w:r w:rsidRPr="00C15AD3">
        <w:rPr>
          <w:sz w:val="22"/>
          <w:szCs w:val="22"/>
        </w:rPr>
        <w:t>HBAL’nin</w:t>
      </w:r>
      <w:proofErr w:type="spellEnd"/>
      <w:r w:rsidRPr="00C15AD3">
        <w:rPr>
          <w:sz w:val="22"/>
          <w:szCs w:val="22"/>
        </w:rPr>
        <w:t xml:space="preserve"> altında kalan öğrenciler başarısız sayılarak FF notu ile değerlendirilir.</w:t>
      </w:r>
    </w:p>
    <w:p w14:paraId="72D1C512" w14:textId="26190A00" w:rsidR="00D8156F" w:rsidRPr="00C15AD3" w:rsidRDefault="00053AB5" w:rsidP="001B67E3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C15AD3">
        <w:rPr>
          <w:sz w:val="22"/>
          <w:szCs w:val="22"/>
        </w:rPr>
        <w:t>b) Yarıyıl</w:t>
      </w:r>
      <w:r w:rsidR="00444392" w:rsidRPr="00C15AD3">
        <w:rPr>
          <w:sz w:val="22"/>
          <w:szCs w:val="22"/>
        </w:rPr>
        <w:t xml:space="preserve"> </w:t>
      </w:r>
      <w:r w:rsidRPr="00C15AD3">
        <w:rPr>
          <w:sz w:val="22"/>
          <w:szCs w:val="22"/>
        </w:rPr>
        <w:t xml:space="preserve">Sonu Sınav Limiti (YSSL) </w:t>
      </w:r>
      <w:r w:rsidR="00E17B53">
        <w:rPr>
          <w:sz w:val="22"/>
          <w:szCs w:val="22"/>
        </w:rPr>
        <w:t>50 puandır</w:t>
      </w:r>
      <w:r w:rsidR="00210452" w:rsidRPr="00B55FD8">
        <w:rPr>
          <w:b/>
          <w:sz w:val="22"/>
          <w:szCs w:val="22"/>
        </w:rPr>
        <w:t>.</w:t>
      </w:r>
      <w:r w:rsidR="002213DC" w:rsidRPr="00B55FD8">
        <w:rPr>
          <w:b/>
          <w:sz w:val="22"/>
          <w:szCs w:val="22"/>
        </w:rPr>
        <w:t xml:space="preserve"> </w:t>
      </w:r>
      <w:r w:rsidR="00E17B53" w:rsidRPr="00C15AD3">
        <w:rPr>
          <w:sz w:val="22"/>
          <w:szCs w:val="22"/>
        </w:rPr>
        <w:t>Yarıyıl Sonu Sınav</w:t>
      </w:r>
      <w:r w:rsidR="00E17B53">
        <w:rPr>
          <w:sz w:val="22"/>
          <w:szCs w:val="22"/>
        </w:rPr>
        <w:t>ından 50’nin altında alan öğrenciler başarısız sayılarak FF notu ile değerlendirilir.</w:t>
      </w:r>
    </w:p>
    <w:p w14:paraId="74822744" w14:textId="77777777" w:rsidR="00917DF7" w:rsidRPr="00C15AD3" w:rsidRDefault="00D9725A" w:rsidP="001B67E3">
      <w:pPr>
        <w:pStyle w:val="3-normalyaz"/>
        <w:ind w:firstLine="567"/>
        <w:rPr>
          <w:b/>
          <w:sz w:val="22"/>
          <w:szCs w:val="22"/>
        </w:rPr>
      </w:pPr>
      <w:r w:rsidRPr="00C15AD3">
        <w:rPr>
          <w:b/>
          <w:sz w:val="22"/>
          <w:szCs w:val="22"/>
        </w:rPr>
        <w:t>Hüküm bulunmayan haller</w:t>
      </w:r>
    </w:p>
    <w:p w14:paraId="402952EA" w14:textId="273B425F" w:rsidR="0067102D" w:rsidRDefault="00CC52DD" w:rsidP="001B67E3">
      <w:pPr>
        <w:pStyle w:val="3-normalyaz"/>
        <w:ind w:firstLine="567"/>
        <w:rPr>
          <w:sz w:val="22"/>
          <w:szCs w:val="22"/>
        </w:rPr>
      </w:pPr>
      <w:r w:rsidRPr="00C15AD3">
        <w:rPr>
          <w:b/>
          <w:sz w:val="22"/>
          <w:szCs w:val="22"/>
        </w:rPr>
        <w:t xml:space="preserve">MADDE </w:t>
      </w:r>
      <w:r w:rsidR="003E5C4F" w:rsidRPr="00C15AD3">
        <w:rPr>
          <w:b/>
          <w:sz w:val="22"/>
          <w:szCs w:val="22"/>
        </w:rPr>
        <w:t>7</w:t>
      </w:r>
      <w:r w:rsidRPr="00C15AD3">
        <w:rPr>
          <w:b/>
          <w:sz w:val="22"/>
          <w:szCs w:val="22"/>
        </w:rPr>
        <w:t>-</w:t>
      </w:r>
      <w:r w:rsidRPr="00C15AD3">
        <w:rPr>
          <w:sz w:val="22"/>
          <w:szCs w:val="22"/>
        </w:rPr>
        <w:t xml:space="preserve">  (1) </w:t>
      </w:r>
      <w:r w:rsidR="00E276CD" w:rsidRPr="00C15AD3">
        <w:rPr>
          <w:sz w:val="22"/>
          <w:szCs w:val="22"/>
        </w:rPr>
        <w:t xml:space="preserve">Bu uygulama esaslarında hüküm bulunmayan hallerde, ilgili mevzuat hükümlerine aykırı olmamak şartı ile karar almaya </w:t>
      </w:r>
      <w:r w:rsidR="006C3374">
        <w:rPr>
          <w:sz w:val="22"/>
          <w:szCs w:val="22"/>
        </w:rPr>
        <w:t>Fakülte</w:t>
      </w:r>
      <w:r w:rsidR="00E276CD" w:rsidRPr="00C15AD3">
        <w:rPr>
          <w:sz w:val="22"/>
          <w:szCs w:val="22"/>
        </w:rPr>
        <w:t xml:space="preserve"> Yönetim Kurulu yetkilidir.</w:t>
      </w:r>
    </w:p>
    <w:p w14:paraId="1D1AF395" w14:textId="70761E57" w:rsidR="006F1A3A" w:rsidRDefault="006F1A3A" w:rsidP="001B67E3">
      <w:pPr>
        <w:pStyle w:val="3-normalyaz"/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(2) Öğrenciler uygulama alanlarında dekanlık tarafından belirlenen kıyafetleri giymek zorundadırlar.</w:t>
      </w:r>
    </w:p>
    <w:p w14:paraId="0270BCC4" w14:textId="77777777" w:rsidR="000B6864" w:rsidRDefault="006F1A3A" w:rsidP="001B67E3">
      <w:pPr>
        <w:pStyle w:val="3-normalyaz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(3) Uygulaması olan derslerde </w:t>
      </w:r>
      <w:r w:rsidR="00E02DED">
        <w:rPr>
          <w:sz w:val="22"/>
          <w:szCs w:val="22"/>
        </w:rPr>
        <w:t xml:space="preserve">uygulamanın değerlendirilmesi 100 puan üzerinden yapılır. Her uygulama programında bölüm/anabilim dalınca hazırlanan öğrenci değerlendirme formları kullanılır. Uygulama değerlendirme puanı 50 (elli) puanın altında olan öğrenciler dersin hem teorik </w:t>
      </w:r>
      <w:proofErr w:type="spellStart"/>
      <w:r w:rsidR="00E02DED">
        <w:rPr>
          <w:sz w:val="22"/>
          <w:szCs w:val="22"/>
        </w:rPr>
        <w:t>hemde</w:t>
      </w:r>
      <w:proofErr w:type="spellEnd"/>
      <w:r w:rsidR="00E02DED">
        <w:rPr>
          <w:sz w:val="22"/>
          <w:szCs w:val="22"/>
        </w:rPr>
        <w:t xml:space="preserve"> uygulamasından başarısız sayılırlar ve bağıl değerlendirme sistemine dahil edilmezler. Uygulamadan alınan 50 (elli) puan ve üzeri not, bir ara sınav notu olarak kabul edilir. </w:t>
      </w:r>
    </w:p>
    <w:p w14:paraId="35CF6583" w14:textId="29A16224" w:rsidR="006F1A3A" w:rsidRDefault="000B6864" w:rsidP="001B67E3">
      <w:pPr>
        <w:pStyle w:val="3-normalyaz"/>
        <w:ind w:firstLine="567"/>
        <w:rPr>
          <w:sz w:val="22"/>
          <w:szCs w:val="22"/>
        </w:rPr>
      </w:pPr>
      <w:r>
        <w:rPr>
          <w:sz w:val="22"/>
          <w:szCs w:val="22"/>
        </w:rPr>
        <w:t>(4) Ebelik bölümü için Yüksek Öğretim Kurulu’nun (YÖK) 02.02.2008 t</w:t>
      </w:r>
      <w:r w:rsidR="00E17B53">
        <w:rPr>
          <w:sz w:val="22"/>
          <w:szCs w:val="22"/>
        </w:rPr>
        <w:t>a</w:t>
      </w:r>
      <w:r>
        <w:rPr>
          <w:sz w:val="22"/>
          <w:szCs w:val="22"/>
        </w:rPr>
        <w:t xml:space="preserve">rih ve 26775 sayılı yasasında belirtildiği üzere ebelik bölümü öğrencileri mezun olabilmek için aşağıda belirtilen </w:t>
      </w:r>
      <w:proofErr w:type="gramStart"/>
      <w:r>
        <w:rPr>
          <w:sz w:val="22"/>
          <w:szCs w:val="22"/>
        </w:rPr>
        <w:t>kriterleri</w:t>
      </w:r>
      <w:proofErr w:type="gramEnd"/>
      <w:r>
        <w:rPr>
          <w:sz w:val="22"/>
          <w:szCs w:val="22"/>
        </w:rPr>
        <w:t xml:space="preserve"> tamamlamak durumundadırlar. </w:t>
      </w:r>
    </w:p>
    <w:p w14:paraId="718C7EA4" w14:textId="39B00C19" w:rsidR="00AE7608" w:rsidRPr="00AE7608" w:rsidRDefault="00AE7608" w:rsidP="00AE7608">
      <w:pPr>
        <w:widowControl/>
        <w:autoSpaceDE/>
        <w:autoSpaceDN/>
        <w:adjustRightInd/>
        <w:ind w:firstLine="567"/>
        <w:jc w:val="both"/>
        <w:rPr>
          <w:sz w:val="22"/>
          <w:szCs w:val="22"/>
          <w:lang w:bidi="ar-SA"/>
        </w:rPr>
      </w:pPr>
      <w:r w:rsidRPr="00AE7608">
        <w:rPr>
          <w:sz w:val="22"/>
          <w:szCs w:val="22"/>
          <w:lang w:bidi="ar-SA"/>
        </w:rPr>
        <w:t>a) En az 100 doğum öncesi muayeneyi de</w:t>
      </w:r>
      <w:r>
        <w:rPr>
          <w:sz w:val="22"/>
          <w:szCs w:val="22"/>
          <w:lang w:bidi="ar-SA"/>
        </w:rPr>
        <w:t xml:space="preserve"> içerecek şekilde gebelere</w:t>
      </w:r>
      <w:r w:rsidRPr="00AE7608">
        <w:rPr>
          <w:sz w:val="22"/>
          <w:szCs w:val="22"/>
          <w:lang w:bidi="ar-SA"/>
        </w:rPr>
        <w:t xml:space="preserve"> </w:t>
      </w:r>
      <w:r>
        <w:rPr>
          <w:sz w:val="22"/>
          <w:szCs w:val="22"/>
          <w:lang w:bidi="ar-SA"/>
        </w:rPr>
        <w:t xml:space="preserve">izlem ve </w:t>
      </w:r>
      <w:r w:rsidRPr="00AE7608">
        <w:rPr>
          <w:sz w:val="22"/>
          <w:szCs w:val="22"/>
          <w:lang w:bidi="ar-SA"/>
        </w:rPr>
        <w:t>danışmanlık yapma</w:t>
      </w:r>
      <w:r>
        <w:rPr>
          <w:sz w:val="22"/>
          <w:szCs w:val="22"/>
          <w:lang w:bidi="ar-SA"/>
        </w:rPr>
        <w:t>k</w:t>
      </w:r>
      <w:r w:rsidRPr="00AE7608">
        <w:rPr>
          <w:sz w:val="22"/>
          <w:szCs w:val="22"/>
          <w:lang w:bidi="ar-SA"/>
        </w:rPr>
        <w:t>,</w:t>
      </w:r>
    </w:p>
    <w:p w14:paraId="6A210BA1" w14:textId="3CC8C791" w:rsidR="00AE7608" w:rsidRPr="00AE7608" w:rsidRDefault="00AE7608" w:rsidP="00AE7608">
      <w:pPr>
        <w:widowControl/>
        <w:autoSpaceDE/>
        <w:autoSpaceDN/>
        <w:adjustRightInd/>
        <w:ind w:firstLine="567"/>
        <w:jc w:val="both"/>
        <w:rPr>
          <w:sz w:val="22"/>
          <w:szCs w:val="22"/>
          <w:lang w:bidi="ar-SA"/>
        </w:rPr>
      </w:pPr>
      <w:r w:rsidRPr="00AE7608">
        <w:rPr>
          <w:sz w:val="22"/>
          <w:szCs w:val="22"/>
          <w:lang w:bidi="ar-SA"/>
        </w:rPr>
        <w:t>b) En az 40 gebe</w:t>
      </w:r>
      <w:r w:rsidR="008C4BEC">
        <w:rPr>
          <w:sz w:val="22"/>
          <w:szCs w:val="22"/>
          <w:lang w:bidi="ar-SA"/>
        </w:rPr>
        <w:t xml:space="preserve"> kadının gebelik takibini ve bakımını </w:t>
      </w:r>
      <w:r w:rsidRPr="00AE7608">
        <w:rPr>
          <w:sz w:val="22"/>
          <w:szCs w:val="22"/>
          <w:lang w:bidi="ar-SA"/>
        </w:rPr>
        <w:t>yapma</w:t>
      </w:r>
      <w:r w:rsidR="008C4BEC">
        <w:rPr>
          <w:sz w:val="22"/>
          <w:szCs w:val="22"/>
          <w:lang w:bidi="ar-SA"/>
        </w:rPr>
        <w:t>k</w:t>
      </w:r>
      <w:r w:rsidRPr="00AE7608">
        <w:rPr>
          <w:sz w:val="22"/>
          <w:szCs w:val="22"/>
          <w:lang w:bidi="ar-SA"/>
        </w:rPr>
        <w:t>,</w:t>
      </w:r>
    </w:p>
    <w:p w14:paraId="67ED810C" w14:textId="7027875E" w:rsidR="00AE7608" w:rsidRPr="00AE7608" w:rsidRDefault="00AE7608" w:rsidP="00AE7608">
      <w:pPr>
        <w:widowControl/>
        <w:autoSpaceDE/>
        <w:autoSpaceDN/>
        <w:adjustRightInd/>
        <w:ind w:firstLine="567"/>
        <w:jc w:val="both"/>
        <w:rPr>
          <w:sz w:val="22"/>
          <w:szCs w:val="22"/>
          <w:lang w:bidi="ar-SA"/>
        </w:rPr>
      </w:pPr>
      <w:r w:rsidRPr="00AE7608">
        <w:rPr>
          <w:sz w:val="22"/>
          <w:szCs w:val="22"/>
          <w:lang w:bidi="ar-SA"/>
        </w:rPr>
        <w:lastRenderedPageBreak/>
        <w:t>c) En az 40 doğumu kendisinin yapması (Doğum yapan kadın sayısı eksikliği nedeniyle bu sayıya ulaşılamıyorsa, bu sayı öğrencinin 20 tane daha doğuma yardım etmesi koşulu ile 30’a indirilebilir.),</w:t>
      </w:r>
    </w:p>
    <w:p w14:paraId="52B86887" w14:textId="6F81D018" w:rsidR="00AE7608" w:rsidRPr="00AE7608" w:rsidRDefault="00AE7608" w:rsidP="00AE7608">
      <w:pPr>
        <w:widowControl/>
        <w:autoSpaceDE/>
        <w:autoSpaceDN/>
        <w:adjustRightInd/>
        <w:ind w:firstLine="567"/>
        <w:jc w:val="both"/>
        <w:rPr>
          <w:sz w:val="22"/>
          <w:szCs w:val="22"/>
          <w:lang w:bidi="ar-SA"/>
        </w:rPr>
      </w:pPr>
      <w:r w:rsidRPr="00AE7608">
        <w:rPr>
          <w:sz w:val="22"/>
          <w:szCs w:val="22"/>
          <w:lang w:bidi="ar-SA"/>
        </w:rPr>
        <w:t xml:space="preserve">ç) Makat doğuma aktif olarak katılması (Makat doğum mümkün olmadığı takdirde </w:t>
      </w:r>
      <w:proofErr w:type="gramStart"/>
      <w:r w:rsidRPr="00AE7608">
        <w:rPr>
          <w:sz w:val="22"/>
          <w:szCs w:val="22"/>
          <w:lang w:bidi="ar-SA"/>
        </w:rPr>
        <w:t>simülasyon</w:t>
      </w:r>
      <w:proofErr w:type="gramEnd"/>
      <w:r w:rsidRPr="00AE7608">
        <w:rPr>
          <w:sz w:val="22"/>
          <w:szCs w:val="22"/>
          <w:lang w:bidi="ar-SA"/>
        </w:rPr>
        <w:t xml:space="preserve"> yapılarak çalışılmalıdır.),</w:t>
      </w:r>
    </w:p>
    <w:p w14:paraId="0E6EFF45" w14:textId="278D3C11" w:rsidR="00AE7608" w:rsidRPr="00AE7608" w:rsidRDefault="00AE7608" w:rsidP="00AE7608">
      <w:pPr>
        <w:widowControl/>
        <w:autoSpaceDE/>
        <w:autoSpaceDN/>
        <w:adjustRightInd/>
        <w:ind w:firstLine="567"/>
        <w:jc w:val="both"/>
        <w:rPr>
          <w:sz w:val="22"/>
          <w:szCs w:val="22"/>
          <w:lang w:bidi="ar-SA"/>
        </w:rPr>
      </w:pPr>
      <w:r w:rsidRPr="00AE7608">
        <w:rPr>
          <w:sz w:val="22"/>
          <w:szCs w:val="22"/>
          <w:lang w:bidi="ar-SA"/>
        </w:rPr>
        <w:t xml:space="preserve">d) </w:t>
      </w:r>
      <w:proofErr w:type="spellStart"/>
      <w:r w:rsidRPr="00AE7608">
        <w:rPr>
          <w:sz w:val="22"/>
          <w:szCs w:val="22"/>
          <w:lang w:bidi="ar-SA"/>
        </w:rPr>
        <w:t>Epizyotomi</w:t>
      </w:r>
      <w:proofErr w:type="spellEnd"/>
      <w:r w:rsidRPr="00AE7608">
        <w:rPr>
          <w:sz w:val="22"/>
          <w:szCs w:val="22"/>
          <w:lang w:bidi="ar-SA"/>
        </w:rPr>
        <w:t xml:space="preserve"> uygulaması ve dikiş ile başlaması (Bu, teorik bilgi verme ve klinik pratiği içerir. Dikiş pratiği, </w:t>
      </w:r>
      <w:proofErr w:type="spellStart"/>
      <w:r w:rsidRPr="00AE7608">
        <w:rPr>
          <w:sz w:val="22"/>
          <w:szCs w:val="22"/>
          <w:lang w:bidi="ar-SA"/>
        </w:rPr>
        <w:t>epizyotomi</w:t>
      </w:r>
      <w:proofErr w:type="spellEnd"/>
      <w:r w:rsidRPr="00AE7608">
        <w:rPr>
          <w:sz w:val="22"/>
          <w:szCs w:val="22"/>
          <w:lang w:bidi="ar-SA"/>
        </w:rPr>
        <w:t xml:space="preserve"> sonrası veya basit </w:t>
      </w:r>
      <w:proofErr w:type="spellStart"/>
      <w:r w:rsidRPr="00AE7608">
        <w:rPr>
          <w:sz w:val="22"/>
          <w:szCs w:val="22"/>
          <w:lang w:bidi="ar-SA"/>
        </w:rPr>
        <w:t>perianal</w:t>
      </w:r>
      <w:proofErr w:type="spellEnd"/>
      <w:r w:rsidRPr="00AE7608">
        <w:rPr>
          <w:sz w:val="22"/>
          <w:szCs w:val="22"/>
          <w:lang w:bidi="ar-SA"/>
        </w:rPr>
        <w:t xml:space="preserve"> yırtılmalara dikiş atılmasını içerir. Gerekirse bu durum simülasyon şeklinde yapılabilir.),</w:t>
      </w:r>
    </w:p>
    <w:p w14:paraId="6650726E" w14:textId="53F98C6E" w:rsidR="008C4BEC" w:rsidRPr="00AE7608" w:rsidRDefault="00AE7608" w:rsidP="008C4BEC">
      <w:pPr>
        <w:widowControl/>
        <w:autoSpaceDE/>
        <w:autoSpaceDN/>
        <w:adjustRightInd/>
        <w:ind w:firstLine="567"/>
        <w:jc w:val="both"/>
        <w:rPr>
          <w:sz w:val="22"/>
          <w:szCs w:val="22"/>
          <w:lang w:bidi="ar-SA"/>
        </w:rPr>
      </w:pPr>
      <w:r w:rsidRPr="00AE7608">
        <w:rPr>
          <w:sz w:val="22"/>
          <w:szCs w:val="22"/>
          <w:lang w:bidi="ar-SA"/>
        </w:rPr>
        <w:t xml:space="preserve">e) </w:t>
      </w:r>
      <w:r w:rsidR="008C4BEC">
        <w:rPr>
          <w:sz w:val="22"/>
          <w:szCs w:val="22"/>
          <w:lang w:bidi="ar-SA"/>
        </w:rPr>
        <w:t>En az 40 riskli g</w:t>
      </w:r>
      <w:r w:rsidR="008C4BEC" w:rsidRPr="00AE7608">
        <w:rPr>
          <w:sz w:val="22"/>
          <w:szCs w:val="22"/>
          <w:lang w:bidi="ar-SA"/>
        </w:rPr>
        <w:t>ebe</w:t>
      </w:r>
      <w:r w:rsidR="008C4BEC">
        <w:rPr>
          <w:sz w:val="22"/>
          <w:szCs w:val="22"/>
          <w:lang w:bidi="ar-SA"/>
        </w:rPr>
        <w:t xml:space="preserve"> </w:t>
      </w:r>
      <w:r w:rsidR="008C4BEC" w:rsidRPr="00AE7608">
        <w:rPr>
          <w:sz w:val="22"/>
          <w:szCs w:val="22"/>
          <w:lang w:bidi="ar-SA"/>
        </w:rPr>
        <w:t>izlemi ve bakım</w:t>
      </w:r>
      <w:r w:rsidR="008C4BEC">
        <w:rPr>
          <w:sz w:val="22"/>
          <w:szCs w:val="22"/>
          <w:lang w:bidi="ar-SA"/>
        </w:rPr>
        <w:t>ını</w:t>
      </w:r>
      <w:r w:rsidR="008C4BEC" w:rsidRPr="00AE7608">
        <w:rPr>
          <w:sz w:val="22"/>
          <w:szCs w:val="22"/>
          <w:lang w:bidi="ar-SA"/>
        </w:rPr>
        <w:t xml:space="preserve"> yapma</w:t>
      </w:r>
      <w:r w:rsidR="008C4BEC">
        <w:rPr>
          <w:sz w:val="22"/>
          <w:szCs w:val="22"/>
          <w:lang w:bidi="ar-SA"/>
        </w:rPr>
        <w:t>k</w:t>
      </w:r>
      <w:r w:rsidR="008C4BEC" w:rsidRPr="00AE7608">
        <w:rPr>
          <w:sz w:val="22"/>
          <w:szCs w:val="22"/>
          <w:lang w:bidi="ar-SA"/>
        </w:rPr>
        <w:t>,</w:t>
      </w:r>
    </w:p>
    <w:p w14:paraId="27A75BC2" w14:textId="63B0C0FC" w:rsidR="00AE7608" w:rsidRDefault="000C06B7" w:rsidP="00AE7608">
      <w:pPr>
        <w:widowControl/>
        <w:autoSpaceDE/>
        <w:autoSpaceDN/>
        <w:adjustRightInd/>
        <w:ind w:firstLine="567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f) En az 100 lohusanın</w:t>
      </w:r>
      <w:r w:rsidR="00AE7608" w:rsidRPr="00AE7608">
        <w:rPr>
          <w:sz w:val="22"/>
          <w:szCs w:val="22"/>
          <w:lang w:bidi="ar-SA"/>
        </w:rPr>
        <w:t xml:space="preserve"> izlemi ve bakımını yapma</w:t>
      </w:r>
      <w:r>
        <w:rPr>
          <w:sz w:val="22"/>
          <w:szCs w:val="22"/>
          <w:lang w:bidi="ar-SA"/>
        </w:rPr>
        <w:t>k</w:t>
      </w:r>
      <w:r w:rsidR="00AE7608" w:rsidRPr="00AE7608">
        <w:rPr>
          <w:sz w:val="22"/>
          <w:szCs w:val="22"/>
          <w:lang w:bidi="ar-SA"/>
        </w:rPr>
        <w:t xml:space="preserve"> (muayene dahil),</w:t>
      </w:r>
    </w:p>
    <w:p w14:paraId="2D423DC1" w14:textId="249D9C79" w:rsidR="000C06B7" w:rsidRPr="00AE7608" w:rsidRDefault="000C06B7" w:rsidP="00AE7608">
      <w:pPr>
        <w:widowControl/>
        <w:autoSpaceDE/>
        <w:autoSpaceDN/>
        <w:adjustRightInd/>
        <w:ind w:firstLine="567"/>
        <w:jc w:val="both"/>
        <w:rPr>
          <w:sz w:val="22"/>
          <w:szCs w:val="22"/>
          <w:lang w:bidi="ar-SA"/>
        </w:rPr>
      </w:pPr>
      <w:r w:rsidRPr="00AE7608">
        <w:rPr>
          <w:sz w:val="22"/>
          <w:szCs w:val="22"/>
          <w:lang w:bidi="ar-SA"/>
        </w:rPr>
        <w:t>g)</w:t>
      </w:r>
      <w:r>
        <w:rPr>
          <w:sz w:val="22"/>
          <w:szCs w:val="22"/>
          <w:lang w:bidi="ar-SA"/>
        </w:rPr>
        <w:t xml:space="preserve"> </w:t>
      </w:r>
      <w:r w:rsidRPr="00AE7608">
        <w:rPr>
          <w:sz w:val="22"/>
          <w:szCs w:val="22"/>
          <w:lang w:bidi="ar-SA"/>
        </w:rPr>
        <w:t xml:space="preserve">En az 100 </w:t>
      </w:r>
      <w:r>
        <w:rPr>
          <w:sz w:val="22"/>
          <w:szCs w:val="22"/>
          <w:lang w:bidi="ar-SA"/>
        </w:rPr>
        <w:t xml:space="preserve">sağlıklı </w:t>
      </w:r>
      <w:proofErr w:type="spellStart"/>
      <w:r>
        <w:rPr>
          <w:sz w:val="22"/>
          <w:szCs w:val="22"/>
          <w:lang w:bidi="ar-SA"/>
        </w:rPr>
        <w:t>yeni</w:t>
      </w:r>
      <w:r w:rsidRPr="00AE7608">
        <w:rPr>
          <w:sz w:val="22"/>
          <w:szCs w:val="22"/>
          <w:lang w:bidi="ar-SA"/>
        </w:rPr>
        <w:t>doğan</w:t>
      </w:r>
      <w:proofErr w:type="spellEnd"/>
      <w:r w:rsidRPr="00AE7608">
        <w:rPr>
          <w:sz w:val="22"/>
          <w:szCs w:val="22"/>
          <w:lang w:bidi="ar-SA"/>
        </w:rPr>
        <w:t xml:space="preserve"> bebeği</w:t>
      </w:r>
      <w:r>
        <w:rPr>
          <w:sz w:val="22"/>
          <w:szCs w:val="22"/>
          <w:lang w:bidi="ar-SA"/>
        </w:rPr>
        <w:t>n</w:t>
      </w:r>
      <w:r w:rsidRPr="00AE7608">
        <w:rPr>
          <w:sz w:val="22"/>
          <w:szCs w:val="22"/>
          <w:lang w:bidi="ar-SA"/>
        </w:rPr>
        <w:t xml:space="preserve"> izlemi ve bakımını yapma</w:t>
      </w:r>
      <w:r>
        <w:rPr>
          <w:sz w:val="22"/>
          <w:szCs w:val="22"/>
          <w:lang w:bidi="ar-SA"/>
        </w:rPr>
        <w:t>k</w:t>
      </w:r>
      <w:r w:rsidRPr="00AE7608">
        <w:rPr>
          <w:sz w:val="22"/>
          <w:szCs w:val="22"/>
          <w:lang w:bidi="ar-SA"/>
        </w:rPr>
        <w:t xml:space="preserve"> (muayene dahil),</w:t>
      </w:r>
    </w:p>
    <w:p w14:paraId="1EF8E904" w14:textId="77777777" w:rsidR="00346E4D" w:rsidRDefault="000C06B7" w:rsidP="00346E4D">
      <w:pPr>
        <w:widowControl/>
        <w:autoSpaceDE/>
        <w:autoSpaceDN/>
        <w:adjustRightInd/>
        <w:ind w:firstLine="567"/>
        <w:jc w:val="both"/>
        <w:rPr>
          <w:sz w:val="22"/>
          <w:szCs w:val="22"/>
          <w:lang w:bidi="ar-SA"/>
        </w:rPr>
      </w:pPr>
      <w:r w:rsidRPr="00AE7608">
        <w:rPr>
          <w:sz w:val="22"/>
          <w:szCs w:val="22"/>
          <w:lang w:bidi="ar-SA"/>
        </w:rPr>
        <w:t>h)</w:t>
      </w:r>
      <w:r w:rsidR="00AE7608" w:rsidRPr="00AE7608">
        <w:rPr>
          <w:sz w:val="22"/>
          <w:szCs w:val="22"/>
          <w:lang w:bidi="ar-SA"/>
        </w:rPr>
        <w:t xml:space="preserve">Özel bakım gerektiren, prematüre, </w:t>
      </w:r>
      <w:proofErr w:type="spellStart"/>
      <w:r w:rsidR="00AE7608" w:rsidRPr="00AE7608">
        <w:rPr>
          <w:sz w:val="22"/>
          <w:szCs w:val="22"/>
          <w:lang w:bidi="ar-SA"/>
        </w:rPr>
        <w:t>postmatüre</w:t>
      </w:r>
      <w:proofErr w:type="spellEnd"/>
      <w:r w:rsidR="00AE7608" w:rsidRPr="00AE7608">
        <w:rPr>
          <w:sz w:val="22"/>
          <w:szCs w:val="22"/>
          <w:lang w:bidi="ar-SA"/>
        </w:rPr>
        <w:t xml:space="preserve">, düşük doğum ağırlıklı veya hasta bebekler </w:t>
      </w:r>
      <w:proofErr w:type="gramStart"/>
      <w:r w:rsidR="00AE7608" w:rsidRPr="00AE7608">
        <w:rPr>
          <w:sz w:val="22"/>
          <w:szCs w:val="22"/>
          <w:lang w:bidi="ar-SA"/>
        </w:rPr>
        <w:t>dahil</w:t>
      </w:r>
      <w:proofErr w:type="gramEnd"/>
      <w:r w:rsidR="00AE7608" w:rsidRPr="00AE7608">
        <w:rPr>
          <w:sz w:val="22"/>
          <w:szCs w:val="22"/>
          <w:lang w:bidi="ar-SA"/>
        </w:rPr>
        <w:t xml:space="preserve"> olmak üzere; </w:t>
      </w:r>
      <w:r w:rsidR="00346E4D">
        <w:rPr>
          <w:sz w:val="22"/>
          <w:szCs w:val="22"/>
          <w:lang w:bidi="ar-SA"/>
        </w:rPr>
        <w:t xml:space="preserve">50 riskli </w:t>
      </w:r>
      <w:proofErr w:type="spellStart"/>
      <w:r w:rsidR="00346E4D">
        <w:rPr>
          <w:sz w:val="22"/>
          <w:szCs w:val="22"/>
          <w:lang w:bidi="ar-SA"/>
        </w:rPr>
        <w:t>yenidoğanın</w:t>
      </w:r>
      <w:proofErr w:type="spellEnd"/>
      <w:r w:rsidR="00346E4D">
        <w:rPr>
          <w:sz w:val="22"/>
          <w:szCs w:val="22"/>
          <w:lang w:bidi="ar-SA"/>
        </w:rPr>
        <w:t xml:space="preserve"> </w:t>
      </w:r>
      <w:r w:rsidR="00AE7608" w:rsidRPr="00AE7608">
        <w:rPr>
          <w:sz w:val="22"/>
          <w:szCs w:val="22"/>
          <w:lang w:bidi="ar-SA"/>
        </w:rPr>
        <w:t>gözlemini ve bakımını yapma</w:t>
      </w:r>
      <w:r w:rsidR="00346E4D">
        <w:rPr>
          <w:sz w:val="22"/>
          <w:szCs w:val="22"/>
          <w:lang w:bidi="ar-SA"/>
        </w:rPr>
        <w:t>k</w:t>
      </w:r>
      <w:r w:rsidR="00AE7608" w:rsidRPr="00AE7608">
        <w:rPr>
          <w:sz w:val="22"/>
          <w:szCs w:val="22"/>
          <w:lang w:bidi="ar-SA"/>
        </w:rPr>
        <w:t>,</w:t>
      </w:r>
    </w:p>
    <w:p w14:paraId="3E133072" w14:textId="76283586" w:rsidR="00AE7608" w:rsidRDefault="00346E4D" w:rsidP="00346E4D">
      <w:pPr>
        <w:widowControl/>
        <w:autoSpaceDE/>
        <w:autoSpaceDN/>
        <w:adjustRightInd/>
        <w:ind w:firstLine="567"/>
        <w:jc w:val="both"/>
        <w:rPr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>(5) Çocuk Gelişimi Bölümü öğrencileri bitirme projesinden başarılı</w:t>
      </w:r>
      <w:r w:rsidR="00AE7608" w:rsidRPr="00AE7608">
        <w:rPr>
          <w:sz w:val="22"/>
          <w:szCs w:val="22"/>
          <w:lang w:bidi="ar-SA"/>
        </w:rPr>
        <w:t xml:space="preserve"> </w:t>
      </w:r>
      <w:r>
        <w:rPr>
          <w:sz w:val="22"/>
          <w:szCs w:val="22"/>
          <w:lang w:bidi="ar-SA"/>
        </w:rPr>
        <w:t>oldukları takdirde mezun olurlar.</w:t>
      </w:r>
    </w:p>
    <w:p w14:paraId="013FB2E9" w14:textId="0FC113C5" w:rsidR="004A3453" w:rsidRDefault="004A3453" w:rsidP="00155DA6">
      <w:pPr>
        <w:widowControl/>
        <w:autoSpaceDE/>
        <w:adjustRightInd/>
        <w:ind w:firstLine="567"/>
        <w:jc w:val="both"/>
        <w:rPr>
          <w:sz w:val="22"/>
          <w:szCs w:val="22"/>
          <w:lang w:bidi="ar-SA"/>
        </w:rPr>
      </w:pPr>
      <w:r w:rsidRPr="00155DA6">
        <w:rPr>
          <w:sz w:val="22"/>
          <w:szCs w:val="22"/>
          <w:lang w:bidi="ar-SA"/>
        </w:rPr>
        <w:t>(6) Beslenme ve Diyetetik</w:t>
      </w:r>
      <w:r w:rsidR="00155DA6" w:rsidRPr="00155DA6">
        <w:rPr>
          <w:sz w:val="22"/>
          <w:szCs w:val="22"/>
          <w:lang w:bidi="ar-SA"/>
        </w:rPr>
        <w:t xml:space="preserve"> Bölümü</w:t>
      </w:r>
      <w:r w:rsidR="00155DA6">
        <w:rPr>
          <w:sz w:val="22"/>
          <w:szCs w:val="22"/>
          <w:lang w:bidi="ar-SA"/>
        </w:rPr>
        <w:t xml:space="preserve"> öğrencileri 30 iş günü stajlarını Atatürk Üniversitesi staj yönetmeliğine uygun bir şekilde tamamlayarak  başarılı oldukları takdirde mezun olurlar.</w:t>
      </w:r>
    </w:p>
    <w:p w14:paraId="0B9178BD" w14:textId="38403134" w:rsidR="004C3145" w:rsidRDefault="004C3145" w:rsidP="00346E4D">
      <w:pPr>
        <w:widowControl/>
        <w:autoSpaceDE/>
        <w:autoSpaceDN/>
        <w:adjustRightInd/>
        <w:ind w:firstLine="567"/>
        <w:jc w:val="both"/>
        <w:rPr>
          <w:sz w:val="22"/>
          <w:szCs w:val="22"/>
          <w:lang w:bidi="ar-SA"/>
        </w:rPr>
      </w:pPr>
      <w:r w:rsidRPr="00083074">
        <w:rPr>
          <w:sz w:val="22"/>
          <w:szCs w:val="22"/>
          <w:lang w:bidi="ar-SA"/>
        </w:rPr>
        <w:t xml:space="preserve">(7) Fizyoterapi ve </w:t>
      </w:r>
      <w:r w:rsidR="009803CB" w:rsidRPr="00083074">
        <w:rPr>
          <w:sz w:val="22"/>
          <w:szCs w:val="22"/>
          <w:lang w:bidi="ar-SA"/>
        </w:rPr>
        <w:t>Rehabilitasyon</w:t>
      </w:r>
      <w:r w:rsidR="009803CB">
        <w:rPr>
          <w:sz w:val="22"/>
          <w:szCs w:val="22"/>
          <w:lang w:bidi="ar-SA"/>
        </w:rPr>
        <w:t xml:space="preserve"> öğrencileri </w:t>
      </w:r>
      <w:r w:rsidR="00161D7E">
        <w:rPr>
          <w:sz w:val="22"/>
          <w:szCs w:val="22"/>
          <w:lang w:bidi="ar-SA"/>
        </w:rPr>
        <w:t>5. ve 7.</w:t>
      </w:r>
      <w:r w:rsidR="007D5D12">
        <w:rPr>
          <w:sz w:val="22"/>
          <w:szCs w:val="22"/>
          <w:lang w:bidi="ar-SA"/>
        </w:rPr>
        <w:t xml:space="preserve"> yarıyılda yaz stajlarından başarılı</w:t>
      </w:r>
      <w:r w:rsidR="007D5D12" w:rsidRPr="00AE7608">
        <w:rPr>
          <w:sz w:val="22"/>
          <w:szCs w:val="22"/>
          <w:lang w:bidi="ar-SA"/>
        </w:rPr>
        <w:t xml:space="preserve"> </w:t>
      </w:r>
      <w:r w:rsidR="007D5D12">
        <w:rPr>
          <w:sz w:val="22"/>
          <w:szCs w:val="22"/>
          <w:lang w:bidi="ar-SA"/>
        </w:rPr>
        <w:t>oldukları takdirde mezun olurlar.</w:t>
      </w:r>
    </w:p>
    <w:p w14:paraId="0C5EB48D" w14:textId="0136615B" w:rsidR="001B67E3" w:rsidRPr="001B67E3" w:rsidRDefault="001B67E3" w:rsidP="00AE7608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  <w:lang w:bidi="ar-SA"/>
        </w:rPr>
      </w:pPr>
      <w:r w:rsidRPr="001B67E3">
        <w:rPr>
          <w:b/>
          <w:bCs/>
          <w:color w:val="000000"/>
          <w:sz w:val="22"/>
          <w:szCs w:val="22"/>
          <w:lang w:bidi="ar-SA"/>
        </w:rPr>
        <w:t>GEÇİCİ MADDE 1 – </w:t>
      </w:r>
      <w:r w:rsidRPr="001B67E3">
        <w:rPr>
          <w:color w:val="000000"/>
          <w:sz w:val="22"/>
          <w:szCs w:val="22"/>
          <w:lang w:bidi="ar-SA"/>
        </w:rPr>
        <w:t xml:space="preserve">(1) Bu </w:t>
      </w:r>
      <w:r w:rsidRPr="00C15AD3">
        <w:rPr>
          <w:color w:val="000000"/>
          <w:sz w:val="22"/>
          <w:szCs w:val="22"/>
          <w:lang w:bidi="ar-SA"/>
        </w:rPr>
        <w:t>Uygulama Esaslarında yer alan</w:t>
      </w:r>
      <w:r w:rsidRPr="001B67E3">
        <w:rPr>
          <w:color w:val="000000"/>
          <w:sz w:val="22"/>
          <w:szCs w:val="22"/>
          <w:lang w:bidi="ar-SA"/>
        </w:rPr>
        <w:t xml:space="preserve"> hükümler;</w:t>
      </w:r>
    </w:p>
    <w:p w14:paraId="28413B06" w14:textId="77777777" w:rsidR="001B67E3" w:rsidRPr="001B67E3" w:rsidRDefault="001B67E3" w:rsidP="001B67E3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  <w:lang w:bidi="ar-SA"/>
        </w:rPr>
      </w:pPr>
      <w:r w:rsidRPr="001B67E3">
        <w:rPr>
          <w:color w:val="000000"/>
          <w:sz w:val="22"/>
          <w:szCs w:val="22"/>
          <w:lang w:bidi="ar-SA"/>
        </w:rPr>
        <w:t>a) 20</w:t>
      </w:r>
      <w:r w:rsidRPr="00C15AD3">
        <w:rPr>
          <w:color w:val="000000"/>
          <w:sz w:val="22"/>
          <w:szCs w:val="22"/>
          <w:lang w:bidi="ar-SA"/>
        </w:rPr>
        <w:t>20</w:t>
      </w:r>
      <w:r w:rsidRPr="001B67E3">
        <w:rPr>
          <w:color w:val="000000"/>
          <w:sz w:val="22"/>
          <w:szCs w:val="22"/>
          <w:lang w:bidi="ar-SA"/>
        </w:rPr>
        <w:t>-20</w:t>
      </w:r>
      <w:r w:rsidRPr="00C15AD3">
        <w:rPr>
          <w:color w:val="000000"/>
          <w:sz w:val="22"/>
          <w:szCs w:val="22"/>
          <w:lang w:bidi="ar-SA"/>
        </w:rPr>
        <w:t>21</w:t>
      </w:r>
      <w:r w:rsidRPr="001B67E3">
        <w:rPr>
          <w:color w:val="000000"/>
          <w:sz w:val="22"/>
          <w:szCs w:val="22"/>
          <w:lang w:bidi="ar-SA"/>
        </w:rPr>
        <w:t xml:space="preserve"> eğitim-öğretim yılında kayıt yaptırıp bir veya iki yarıyıl süre ile kayıt donduran birinci sınıftaki öğrenciler,</w:t>
      </w:r>
    </w:p>
    <w:p w14:paraId="698218B0" w14:textId="77777777" w:rsidR="001B67E3" w:rsidRPr="001B67E3" w:rsidRDefault="001B67E3" w:rsidP="001B67E3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  <w:lang w:bidi="ar-SA"/>
        </w:rPr>
      </w:pPr>
      <w:r w:rsidRPr="00C15AD3">
        <w:rPr>
          <w:color w:val="000000"/>
          <w:sz w:val="22"/>
          <w:szCs w:val="22"/>
          <w:lang w:bidi="ar-SA"/>
        </w:rPr>
        <w:t>b</w:t>
      </w:r>
      <w:r w:rsidRPr="001B67E3">
        <w:rPr>
          <w:color w:val="000000"/>
          <w:sz w:val="22"/>
          <w:szCs w:val="22"/>
          <w:lang w:bidi="ar-SA"/>
        </w:rPr>
        <w:t>) 20</w:t>
      </w:r>
      <w:r w:rsidRPr="00C15AD3">
        <w:rPr>
          <w:color w:val="000000"/>
          <w:sz w:val="22"/>
          <w:szCs w:val="22"/>
          <w:lang w:bidi="ar-SA"/>
        </w:rPr>
        <w:t>20</w:t>
      </w:r>
      <w:r w:rsidRPr="001B67E3">
        <w:rPr>
          <w:color w:val="000000"/>
          <w:sz w:val="22"/>
          <w:szCs w:val="22"/>
          <w:lang w:bidi="ar-SA"/>
        </w:rPr>
        <w:t>-20</w:t>
      </w:r>
      <w:r w:rsidRPr="00C15AD3">
        <w:rPr>
          <w:color w:val="000000"/>
          <w:sz w:val="22"/>
          <w:szCs w:val="22"/>
          <w:lang w:bidi="ar-SA"/>
        </w:rPr>
        <w:t>21</w:t>
      </w:r>
      <w:r w:rsidRPr="001B67E3">
        <w:rPr>
          <w:color w:val="000000"/>
          <w:sz w:val="22"/>
          <w:szCs w:val="22"/>
          <w:lang w:bidi="ar-SA"/>
        </w:rPr>
        <w:t xml:space="preserve"> eğitim-öğretim yılında kayıt yaptırıp, </w:t>
      </w:r>
      <w:proofErr w:type="spellStart"/>
      <w:r w:rsidRPr="001B67E3">
        <w:rPr>
          <w:color w:val="000000"/>
          <w:sz w:val="22"/>
          <w:szCs w:val="22"/>
          <w:lang w:bidi="ar-SA"/>
        </w:rPr>
        <w:t>AGNO’ları</w:t>
      </w:r>
      <w:proofErr w:type="spellEnd"/>
      <w:r w:rsidRPr="001B67E3">
        <w:rPr>
          <w:color w:val="000000"/>
          <w:sz w:val="22"/>
          <w:szCs w:val="22"/>
          <w:lang w:bidi="ar-SA"/>
        </w:rPr>
        <w:t xml:space="preserve"> iki dönem üst üste 2,00’ın altında olduğu için bir üst sınıfa geçemeyen birinci sınıftaki öğrenciler,</w:t>
      </w:r>
    </w:p>
    <w:p w14:paraId="3EFA0B07" w14:textId="77777777" w:rsidR="001B67E3" w:rsidRPr="001B67E3" w:rsidRDefault="001B67E3" w:rsidP="001B67E3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  <w:lang w:bidi="ar-SA"/>
        </w:rPr>
      </w:pPr>
      <w:r w:rsidRPr="00C15AD3">
        <w:rPr>
          <w:color w:val="000000"/>
          <w:sz w:val="22"/>
          <w:szCs w:val="22"/>
          <w:lang w:bidi="ar-SA"/>
        </w:rPr>
        <w:t>c</w:t>
      </w:r>
      <w:r w:rsidRPr="001B67E3">
        <w:rPr>
          <w:color w:val="000000"/>
          <w:sz w:val="22"/>
          <w:szCs w:val="22"/>
          <w:lang w:bidi="ar-SA"/>
        </w:rPr>
        <w:t xml:space="preserve">) </w:t>
      </w:r>
      <w:r w:rsidRPr="00C15AD3">
        <w:rPr>
          <w:color w:val="000000"/>
          <w:sz w:val="22"/>
          <w:szCs w:val="22"/>
          <w:lang w:bidi="ar-SA"/>
        </w:rPr>
        <w:t>2021</w:t>
      </w:r>
      <w:r w:rsidRPr="001B67E3">
        <w:rPr>
          <w:color w:val="000000"/>
          <w:sz w:val="22"/>
          <w:szCs w:val="22"/>
          <w:lang w:bidi="ar-SA"/>
        </w:rPr>
        <w:t>-20</w:t>
      </w:r>
      <w:r w:rsidRPr="00C15AD3">
        <w:rPr>
          <w:color w:val="000000"/>
          <w:sz w:val="22"/>
          <w:szCs w:val="22"/>
          <w:lang w:bidi="ar-SA"/>
        </w:rPr>
        <w:t>22</w:t>
      </w:r>
      <w:r w:rsidRPr="001B67E3">
        <w:rPr>
          <w:color w:val="000000"/>
          <w:sz w:val="22"/>
          <w:szCs w:val="22"/>
          <w:lang w:bidi="ar-SA"/>
        </w:rPr>
        <w:t xml:space="preserve"> eğitim öğretim yılında ilk defa birinci sınıfa kayıt yaptıracak öğrenciler,</w:t>
      </w:r>
    </w:p>
    <w:p w14:paraId="1985E562" w14:textId="77777777" w:rsidR="001B67E3" w:rsidRPr="00C15AD3" w:rsidRDefault="001B67E3" w:rsidP="001B67E3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bidi="ar-SA"/>
        </w:rPr>
      </w:pPr>
      <w:proofErr w:type="gramStart"/>
      <w:r w:rsidRPr="001B67E3">
        <w:rPr>
          <w:color w:val="000000"/>
          <w:sz w:val="22"/>
          <w:szCs w:val="22"/>
          <w:lang w:bidi="ar-SA"/>
        </w:rPr>
        <w:t>için</w:t>
      </w:r>
      <w:proofErr w:type="gramEnd"/>
      <w:r w:rsidRPr="001B67E3">
        <w:rPr>
          <w:color w:val="000000"/>
          <w:sz w:val="22"/>
          <w:szCs w:val="22"/>
          <w:lang w:bidi="ar-SA"/>
        </w:rPr>
        <w:t> uygulanır.</w:t>
      </w:r>
    </w:p>
    <w:p w14:paraId="40BDB246" w14:textId="2B6CB952" w:rsidR="001B67E3" w:rsidRDefault="001B67E3" w:rsidP="001B67E3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  <w:lang w:bidi="ar-SA"/>
        </w:rPr>
      </w:pPr>
      <w:r w:rsidRPr="00C15AD3">
        <w:rPr>
          <w:color w:val="000000"/>
          <w:sz w:val="22"/>
          <w:szCs w:val="22"/>
          <w:lang w:bidi="ar-SA"/>
        </w:rPr>
        <w:t>(2) Bu maddenin 1</w:t>
      </w:r>
      <w:r w:rsidR="000D6352" w:rsidRPr="00C15AD3">
        <w:rPr>
          <w:color w:val="000000"/>
          <w:sz w:val="22"/>
          <w:szCs w:val="22"/>
          <w:lang w:bidi="ar-SA"/>
        </w:rPr>
        <w:t xml:space="preserve"> i</w:t>
      </w:r>
      <w:r w:rsidRPr="00C15AD3">
        <w:rPr>
          <w:color w:val="000000"/>
          <w:sz w:val="22"/>
          <w:szCs w:val="22"/>
          <w:lang w:bidi="ar-SA"/>
        </w:rPr>
        <w:t xml:space="preserve">nci fıkrası dışında kalan öğrencilerin </w:t>
      </w:r>
      <w:r w:rsidR="000D6352" w:rsidRPr="00C15AD3">
        <w:rPr>
          <w:color w:val="000000"/>
          <w:sz w:val="22"/>
          <w:szCs w:val="22"/>
          <w:lang w:bidi="ar-SA"/>
        </w:rPr>
        <w:t xml:space="preserve">bu uygulama esaslarına bağlı olarak öğrenime devam etmelerine yönelik </w:t>
      </w:r>
      <w:r w:rsidRPr="00C15AD3">
        <w:rPr>
          <w:color w:val="000000"/>
          <w:sz w:val="22"/>
          <w:szCs w:val="22"/>
          <w:lang w:bidi="ar-SA"/>
        </w:rPr>
        <w:t>talepleri</w:t>
      </w:r>
      <w:r w:rsidR="00C87A11">
        <w:rPr>
          <w:color w:val="000000"/>
          <w:sz w:val="22"/>
          <w:szCs w:val="22"/>
          <w:lang w:bidi="ar-SA"/>
        </w:rPr>
        <w:t>nin</w:t>
      </w:r>
      <w:r w:rsidRPr="00C15AD3">
        <w:rPr>
          <w:color w:val="000000"/>
          <w:sz w:val="22"/>
          <w:szCs w:val="22"/>
          <w:lang w:bidi="ar-SA"/>
        </w:rPr>
        <w:t xml:space="preserve"> </w:t>
      </w:r>
      <w:r w:rsidR="00C87A11">
        <w:rPr>
          <w:color w:val="000000"/>
          <w:sz w:val="22"/>
          <w:szCs w:val="22"/>
          <w:lang w:bidi="ar-SA"/>
        </w:rPr>
        <w:t>değerlendirilmesi</w:t>
      </w:r>
      <w:r w:rsidRPr="00C15AD3">
        <w:rPr>
          <w:color w:val="000000"/>
          <w:sz w:val="22"/>
          <w:szCs w:val="22"/>
          <w:lang w:bidi="ar-SA"/>
        </w:rPr>
        <w:t xml:space="preserve"> ve intibak</w:t>
      </w:r>
      <w:r w:rsidR="000D6352" w:rsidRPr="00C15AD3">
        <w:rPr>
          <w:color w:val="000000"/>
          <w:sz w:val="22"/>
          <w:szCs w:val="22"/>
          <w:lang w:bidi="ar-SA"/>
        </w:rPr>
        <w:t xml:space="preserve"> işlemleri </w:t>
      </w:r>
      <w:r w:rsidRPr="00C15AD3">
        <w:rPr>
          <w:color w:val="000000"/>
          <w:sz w:val="22"/>
          <w:szCs w:val="22"/>
          <w:lang w:bidi="ar-SA"/>
        </w:rPr>
        <w:t xml:space="preserve">konusunda karar almaya </w:t>
      </w:r>
      <w:r w:rsidR="00F73209">
        <w:rPr>
          <w:color w:val="000000"/>
          <w:sz w:val="22"/>
          <w:szCs w:val="22"/>
          <w:lang w:bidi="ar-SA"/>
        </w:rPr>
        <w:t>Fakülte</w:t>
      </w:r>
      <w:r w:rsidRPr="00C15AD3">
        <w:rPr>
          <w:color w:val="000000"/>
          <w:sz w:val="22"/>
          <w:szCs w:val="22"/>
          <w:lang w:bidi="ar-SA"/>
        </w:rPr>
        <w:t xml:space="preserve"> Yönetim Kurulu yetkilidir.</w:t>
      </w:r>
    </w:p>
    <w:p w14:paraId="5DB5A8D6" w14:textId="77777777" w:rsidR="006F1A3A" w:rsidRPr="001B67E3" w:rsidRDefault="006F1A3A" w:rsidP="001B67E3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  <w:lang w:bidi="ar-SA"/>
        </w:rPr>
      </w:pPr>
    </w:p>
    <w:p w14:paraId="486D00D2" w14:textId="77777777" w:rsidR="00917DF7" w:rsidRPr="00C15AD3" w:rsidRDefault="00CC52DD" w:rsidP="001B67E3">
      <w:pPr>
        <w:pStyle w:val="3-normalyaz"/>
        <w:ind w:firstLine="567"/>
        <w:rPr>
          <w:b/>
          <w:sz w:val="22"/>
          <w:szCs w:val="22"/>
        </w:rPr>
      </w:pPr>
      <w:r w:rsidRPr="00C15AD3">
        <w:rPr>
          <w:b/>
          <w:sz w:val="22"/>
          <w:szCs w:val="22"/>
        </w:rPr>
        <w:t>Yürürlük</w:t>
      </w:r>
    </w:p>
    <w:p w14:paraId="18C54684" w14:textId="77777777" w:rsidR="00ED4685" w:rsidRPr="00C15AD3" w:rsidRDefault="00CC52DD" w:rsidP="001B67E3">
      <w:pPr>
        <w:pStyle w:val="3-normalyaz"/>
        <w:ind w:firstLine="567"/>
        <w:rPr>
          <w:sz w:val="22"/>
          <w:szCs w:val="22"/>
        </w:rPr>
      </w:pPr>
      <w:r w:rsidRPr="00C15AD3">
        <w:rPr>
          <w:b/>
          <w:sz w:val="22"/>
          <w:szCs w:val="22"/>
        </w:rPr>
        <w:t xml:space="preserve">MADDE </w:t>
      </w:r>
      <w:r w:rsidR="003E5C4F" w:rsidRPr="00C15AD3">
        <w:rPr>
          <w:b/>
          <w:sz w:val="22"/>
          <w:szCs w:val="22"/>
        </w:rPr>
        <w:t>8</w:t>
      </w:r>
      <w:r w:rsidRPr="00C15AD3">
        <w:rPr>
          <w:sz w:val="22"/>
          <w:szCs w:val="22"/>
        </w:rPr>
        <w:t xml:space="preserve">- (1) Bu </w:t>
      </w:r>
      <w:r w:rsidR="006B07EF" w:rsidRPr="00C15AD3">
        <w:rPr>
          <w:sz w:val="22"/>
          <w:szCs w:val="22"/>
        </w:rPr>
        <w:t>uygulama esasları</w:t>
      </w:r>
      <w:r w:rsidRPr="00C15AD3">
        <w:rPr>
          <w:sz w:val="22"/>
          <w:szCs w:val="22"/>
        </w:rPr>
        <w:t xml:space="preserve"> 20</w:t>
      </w:r>
      <w:r w:rsidR="009A36CD" w:rsidRPr="00C15AD3">
        <w:rPr>
          <w:sz w:val="22"/>
          <w:szCs w:val="22"/>
        </w:rPr>
        <w:t>21</w:t>
      </w:r>
      <w:r w:rsidRPr="00C15AD3">
        <w:rPr>
          <w:sz w:val="22"/>
          <w:szCs w:val="22"/>
        </w:rPr>
        <w:t>-20</w:t>
      </w:r>
      <w:r w:rsidR="009A36CD" w:rsidRPr="00C15AD3">
        <w:rPr>
          <w:sz w:val="22"/>
          <w:szCs w:val="22"/>
        </w:rPr>
        <w:t>22</w:t>
      </w:r>
      <w:r w:rsidRPr="00C15AD3">
        <w:rPr>
          <w:sz w:val="22"/>
          <w:szCs w:val="22"/>
        </w:rPr>
        <w:t xml:space="preserve"> </w:t>
      </w:r>
      <w:r w:rsidR="00447225" w:rsidRPr="00C15AD3">
        <w:rPr>
          <w:sz w:val="22"/>
          <w:szCs w:val="22"/>
        </w:rPr>
        <w:t>eğitim-</w:t>
      </w:r>
      <w:r w:rsidRPr="00C15AD3">
        <w:rPr>
          <w:sz w:val="22"/>
          <w:szCs w:val="22"/>
        </w:rPr>
        <w:t xml:space="preserve">öğretim yılından itibaren uygulanmak üzere </w:t>
      </w:r>
      <w:r w:rsidR="00597424" w:rsidRPr="00C15AD3">
        <w:rPr>
          <w:sz w:val="22"/>
          <w:szCs w:val="22"/>
        </w:rPr>
        <w:t>Senato’</w:t>
      </w:r>
      <w:r w:rsidR="00F82CB7" w:rsidRPr="00C15AD3">
        <w:rPr>
          <w:sz w:val="22"/>
          <w:szCs w:val="22"/>
        </w:rPr>
        <w:t xml:space="preserve">da kabul edildikten sonra </w:t>
      </w:r>
      <w:r w:rsidRPr="00C15AD3">
        <w:rPr>
          <w:sz w:val="22"/>
          <w:szCs w:val="22"/>
        </w:rPr>
        <w:t>yürürlüğe girer.</w:t>
      </w:r>
    </w:p>
    <w:p w14:paraId="632F01B4" w14:textId="77777777" w:rsidR="00917DF7" w:rsidRPr="00C15AD3" w:rsidRDefault="00CC52DD" w:rsidP="001B67E3">
      <w:pPr>
        <w:pStyle w:val="3-normalyaz"/>
        <w:ind w:firstLine="567"/>
        <w:rPr>
          <w:b/>
          <w:sz w:val="22"/>
          <w:szCs w:val="22"/>
        </w:rPr>
      </w:pPr>
      <w:r w:rsidRPr="00C15AD3">
        <w:rPr>
          <w:b/>
          <w:sz w:val="22"/>
          <w:szCs w:val="22"/>
        </w:rPr>
        <w:t>Yürütme</w:t>
      </w:r>
    </w:p>
    <w:p w14:paraId="1D6148BC" w14:textId="53442D15" w:rsidR="007337F2" w:rsidRPr="00C15AD3" w:rsidRDefault="00CC52DD" w:rsidP="001B67E3">
      <w:pPr>
        <w:pStyle w:val="3-normalyaz"/>
        <w:ind w:firstLine="567"/>
        <w:rPr>
          <w:sz w:val="22"/>
          <w:szCs w:val="22"/>
        </w:rPr>
      </w:pPr>
      <w:r w:rsidRPr="00C15AD3">
        <w:rPr>
          <w:b/>
          <w:sz w:val="22"/>
          <w:szCs w:val="22"/>
        </w:rPr>
        <w:t>MADDE</w:t>
      </w:r>
      <w:r w:rsidR="00C36A32" w:rsidRPr="00C15AD3">
        <w:rPr>
          <w:b/>
          <w:sz w:val="22"/>
          <w:szCs w:val="22"/>
        </w:rPr>
        <w:t xml:space="preserve"> </w:t>
      </w:r>
      <w:r w:rsidR="003E5C4F" w:rsidRPr="00C15AD3">
        <w:rPr>
          <w:b/>
          <w:sz w:val="22"/>
          <w:szCs w:val="22"/>
        </w:rPr>
        <w:t>9</w:t>
      </w:r>
      <w:r w:rsidRPr="00C15AD3">
        <w:rPr>
          <w:b/>
          <w:sz w:val="22"/>
          <w:szCs w:val="22"/>
        </w:rPr>
        <w:t xml:space="preserve"> -</w:t>
      </w:r>
      <w:r w:rsidRPr="00C15AD3">
        <w:rPr>
          <w:sz w:val="22"/>
          <w:szCs w:val="22"/>
        </w:rPr>
        <w:t xml:space="preserve"> (1) Bu </w:t>
      </w:r>
      <w:r w:rsidR="006B07EF" w:rsidRPr="00C15AD3">
        <w:rPr>
          <w:sz w:val="22"/>
          <w:szCs w:val="22"/>
        </w:rPr>
        <w:t>uygulama esasları</w:t>
      </w:r>
      <w:r w:rsidRPr="00C15AD3">
        <w:rPr>
          <w:sz w:val="22"/>
          <w:szCs w:val="22"/>
        </w:rPr>
        <w:t xml:space="preserve"> hükümlerini Atatürk Üniversitesi</w:t>
      </w:r>
      <w:r w:rsidR="00722F44" w:rsidRPr="00C15AD3">
        <w:rPr>
          <w:sz w:val="22"/>
          <w:szCs w:val="22"/>
        </w:rPr>
        <w:t xml:space="preserve"> </w:t>
      </w:r>
      <w:r w:rsidR="00B55FD8" w:rsidRPr="00B55FD8">
        <w:rPr>
          <w:sz w:val="22"/>
          <w:szCs w:val="22"/>
        </w:rPr>
        <w:t>Sağlık Bilimleri</w:t>
      </w:r>
      <w:r w:rsidR="00B55FD8">
        <w:rPr>
          <w:b/>
          <w:sz w:val="22"/>
          <w:szCs w:val="22"/>
        </w:rPr>
        <w:t xml:space="preserve"> </w:t>
      </w:r>
      <w:r w:rsidR="00F73209">
        <w:rPr>
          <w:sz w:val="22"/>
          <w:szCs w:val="22"/>
        </w:rPr>
        <w:t>Fakültesi Dekanı</w:t>
      </w:r>
      <w:r w:rsidRPr="00C15AD3">
        <w:rPr>
          <w:sz w:val="22"/>
          <w:szCs w:val="22"/>
        </w:rPr>
        <w:t xml:space="preserve"> yürütür.</w:t>
      </w:r>
    </w:p>
    <w:p w14:paraId="38300ED1" w14:textId="77777777" w:rsidR="007341FF" w:rsidRPr="00F51D1D" w:rsidRDefault="007341FF" w:rsidP="002946EC">
      <w:pPr>
        <w:pStyle w:val="3-normalyaz"/>
        <w:rPr>
          <w:sz w:val="24"/>
          <w:szCs w:val="24"/>
        </w:rPr>
      </w:pPr>
    </w:p>
    <w:sectPr w:rsidR="007341FF" w:rsidRPr="00F51D1D" w:rsidSect="00C15AD3">
      <w:type w:val="continuous"/>
      <w:pgSz w:w="11909" w:h="16834"/>
      <w:pgMar w:top="568" w:right="1134" w:bottom="851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17D7"/>
    <w:multiLevelType w:val="hybridMultilevel"/>
    <w:tmpl w:val="445A80E6"/>
    <w:lvl w:ilvl="0" w:tplc="668449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CF"/>
    <w:rsid w:val="00000249"/>
    <w:rsid w:val="00012161"/>
    <w:rsid w:val="000309A9"/>
    <w:rsid w:val="00036170"/>
    <w:rsid w:val="00037DCA"/>
    <w:rsid w:val="00053AB5"/>
    <w:rsid w:val="00066C73"/>
    <w:rsid w:val="00072E47"/>
    <w:rsid w:val="000772CF"/>
    <w:rsid w:val="00083074"/>
    <w:rsid w:val="00096D23"/>
    <w:rsid w:val="000A06F9"/>
    <w:rsid w:val="000A3568"/>
    <w:rsid w:val="000B633A"/>
    <w:rsid w:val="000B6864"/>
    <w:rsid w:val="000C06B7"/>
    <w:rsid w:val="000D14DD"/>
    <w:rsid w:val="000D6352"/>
    <w:rsid w:val="000E62A5"/>
    <w:rsid w:val="000F20D6"/>
    <w:rsid w:val="000F51C4"/>
    <w:rsid w:val="00100014"/>
    <w:rsid w:val="00101D49"/>
    <w:rsid w:val="001130CE"/>
    <w:rsid w:val="00113E25"/>
    <w:rsid w:val="00143201"/>
    <w:rsid w:val="00146698"/>
    <w:rsid w:val="00155DA6"/>
    <w:rsid w:val="00161D7E"/>
    <w:rsid w:val="00181784"/>
    <w:rsid w:val="001A39F7"/>
    <w:rsid w:val="001A5D39"/>
    <w:rsid w:val="001B67E3"/>
    <w:rsid w:val="001B709E"/>
    <w:rsid w:val="001B7FF5"/>
    <w:rsid w:val="001D463B"/>
    <w:rsid w:val="001D796D"/>
    <w:rsid w:val="001E72EE"/>
    <w:rsid w:val="001F508F"/>
    <w:rsid w:val="001F7800"/>
    <w:rsid w:val="00205A6B"/>
    <w:rsid w:val="0020771B"/>
    <w:rsid w:val="00210452"/>
    <w:rsid w:val="002213DC"/>
    <w:rsid w:val="00223C7D"/>
    <w:rsid w:val="00233CED"/>
    <w:rsid w:val="002345F8"/>
    <w:rsid w:val="0023567F"/>
    <w:rsid w:val="00237C61"/>
    <w:rsid w:val="0024690D"/>
    <w:rsid w:val="00246F92"/>
    <w:rsid w:val="00257DD1"/>
    <w:rsid w:val="0027644A"/>
    <w:rsid w:val="00287955"/>
    <w:rsid w:val="002946EC"/>
    <w:rsid w:val="002A1B5A"/>
    <w:rsid w:val="002A7289"/>
    <w:rsid w:val="002B774E"/>
    <w:rsid w:val="002D3FA9"/>
    <w:rsid w:val="002F226F"/>
    <w:rsid w:val="002F64BB"/>
    <w:rsid w:val="002F6875"/>
    <w:rsid w:val="00301F6C"/>
    <w:rsid w:val="003062DB"/>
    <w:rsid w:val="00314EE0"/>
    <w:rsid w:val="0031633B"/>
    <w:rsid w:val="00330A3E"/>
    <w:rsid w:val="00333B59"/>
    <w:rsid w:val="00346E4D"/>
    <w:rsid w:val="003545F6"/>
    <w:rsid w:val="00356306"/>
    <w:rsid w:val="00364CD5"/>
    <w:rsid w:val="003711B0"/>
    <w:rsid w:val="00374B6E"/>
    <w:rsid w:val="003818CF"/>
    <w:rsid w:val="00385691"/>
    <w:rsid w:val="003A4CE8"/>
    <w:rsid w:val="003D0519"/>
    <w:rsid w:val="003E5C4F"/>
    <w:rsid w:val="003F3504"/>
    <w:rsid w:val="00410166"/>
    <w:rsid w:val="00415727"/>
    <w:rsid w:val="00425FBF"/>
    <w:rsid w:val="004322BC"/>
    <w:rsid w:val="00444392"/>
    <w:rsid w:val="00447225"/>
    <w:rsid w:val="00453B8D"/>
    <w:rsid w:val="004554F2"/>
    <w:rsid w:val="00466A8C"/>
    <w:rsid w:val="00466B6F"/>
    <w:rsid w:val="00477A7E"/>
    <w:rsid w:val="0049147C"/>
    <w:rsid w:val="004A3453"/>
    <w:rsid w:val="004B7FF1"/>
    <w:rsid w:val="004C3145"/>
    <w:rsid w:val="004D2CAA"/>
    <w:rsid w:val="004E2920"/>
    <w:rsid w:val="004E6701"/>
    <w:rsid w:val="005025C8"/>
    <w:rsid w:val="0053079C"/>
    <w:rsid w:val="00533DDD"/>
    <w:rsid w:val="005506DD"/>
    <w:rsid w:val="00561C0A"/>
    <w:rsid w:val="00564E24"/>
    <w:rsid w:val="00591F15"/>
    <w:rsid w:val="005967F0"/>
    <w:rsid w:val="00597424"/>
    <w:rsid w:val="0059771B"/>
    <w:rsid w:val="005A6944"/>
    <w:rsid w:val="005B1A60"/>
    <w:rsid w:val="005B728B"/>
    <w:rsid w:val="005B79D9"/>
    <w:rsid w:val="005C04E9"/>
    <w:rsid w:val="005C5A44"/>
    <w:rsid w:val="005D51C4"/>
    <w:rsid w:val="005D66F5"/>
    <w:rsid w:val="005F3092"/>
    <w:rsid w:val="005F6139"/>
    <w:rsid w:val="00600625"/>
    <w:rsid w:val="00633DD2"/>
    <w:rsid w:val="006341B7"/>
    <w:rsid w:val="0063462E"/>
    <w:rsid w:val="00646B92"/>
    <w:rsid w:val="006524E5"/>
    <w:rsid w:val="006547B2"/>
    <w:rsid w:val="0067102D"/>
    <w:rsid w:val="00691C1B"/>
    <w:rsid w:val="006A2415"/>
    <w:rsid w:val="006A779E"/>
    <w:rsid w:val="006B07EF"/>
    <w:rsid w:val="006B5878"/>
    <w:rsid w:val="006C03B5"/>
    <w:rsid w:val="006C3374"/>
    <w:rsid w:val="006C7A30"/>
    <w:rsid w:val="006C7CEA"/>
    <w:rsid w:val="006F1217"/>
    <w:rsid w:val="006F1A3A"/>
    <w:rsid w:val="006F2175"/>
    <w:rsid w:val="0071079E"/>
    <w:rsid w:val="00712B60"/>
    <w:rsid w:val="0071491F"/>
    <w:rsid w:val="0072031C"/>
    <w:rsid w:val="00722C33"/>
    <w:rsid w:val="00722F44"/>
    <w:rsid w:val="00724309"/>
    <w:rsid w:val="00724F70"/>
    <w:rsid w:val="007337F2"/>
    <w:rsid w:val="007341FF"/>
    <w:rsid w:val="00734D57"/>
    <w:rsid w:val="00742BD7"/>
    <w:rsid w:val="00750FA7"/>
    <w:rsid w:val="00757477"/>
    <w:rsid w:val="00760F07"/>
    <w:rsid w:val="00761B58"/>
    <w:rsid w:val="00766739"/>
    <w:rsid w:val="0077059B"/>
    <w:rsid w:val="00772494"/>
    <w:rsid w:val="0077598A"/>
    <w:rsid w:val="00791752"/>
    <w:rsid w:val="007A7A06"/>
    <w:rsid w:val="007B7E07"/>
    <w:rsid w:val="007C58E1"/>
    <w:rsid w:val="007D5D12"/>
    <w:rsid w:val="007E4D43"/>
    <w:rsid w:val="00813737"/>
    <w:rsid w:val="0082386D"/>
    <w:rsid w:val="0083030A"/>
    <w:rsid w:val="008431A9"/>
    <w:rsid w:val="00846248"/>
    <w:rsid w:val="0085033D"/>
    <w:rsid w:val="008511D6"/>
    <w:rsid w:val="00853CFA"/>
    <w:rsid w:val="008704E4"/>
    <w:rsid w:val="0088766D"/>
    <w:rsid w:val="00890477"/>
    <w:rsid w:val="008A370B"/>
    <w:rsid w:val="008C4BEC"/>
    <w:rsid w:val="008C7613"/>
    <w:rsid w:val="008E17B8"/>
    <w:rsid w:val="008F11B0"/>
    <w:rsid w:val="00905B18"/>
    <w:rsid w:val="00914E15"/>
    <w:rsid w:val="00917DF7"/>
    <w:rsid w:val="0092144F"/>
    <w:rsid w:val="00937AAD"/>
    <w:rsid w:val="009405E6"/>
    <w:rsid w:val="009607FF"/>
    <w:rsid w:val="009803CB"/>
    <w:rsid w:val="00983420"/>
    <w:rsid w:val="009947D5"/>
    <w:rsid w:val="00996A03"/>
    <w:rsid w:val="009A36CD"/>
    <w:rsid w:val="009B3E28"/>
    <w:rsid w:val="009C002E"/>
    <w:rsid w:val="009C52AC"/>
    <w:rsid w:val="009F19EF"/>
    <w:rsid w:val="009F551B"/>
    <w:rsid w:val="009F586C"/>
    <w:rsid w:val="00A038D0"/>
    <w:rsid w:val="00A06E23"/>
    <w:rsid w:val="00A23DB1"/>
    <w:rsid w:val="00A325CF"/>
    <w:rsid w:val="00A55193"/>
    <w:rsid w:val="00A61A77"/>
    <w:rsid w:val="00A63C41"/>
    <w:rsid w:val="00A70D8A"/>
    <w:rsid w:val="00A91D80"/>
    <w:rsid w:val="00A92408"/>
    <w:rsid w:val="00AA6EE8"/>
    <w:rsid w:val="00AC52AE"/>
    <w:rsid w:val="00AC7B07"/>
    <w:rsid w:val="00AD59A3"/>
    <w:rsid w:val="00AD6150"/>
    <w:rsid w:val="00AE4BF1"/>
    <w:rsid w:val="00AE7608"/>
    <w:rsid w:val="00AF0D83"/>
    <w:rsid w:val="00AF1CB8"/>
    <w:rsid w:val="00B14F8E"/>
    <w:rsid w:val="00B5467E"/>
    <w:rsid w:val="00B55FD8"/>
    <w:rsid w:val="00B751B5"/>
    <w:rsid w:val="00B81EED"/>
    <w:rsid w:val="00B8478F"/>
    <w:rsid w:val="00BA1171"/>
    <w:rsid w:val="00BA47F0"/>
    <w:rsid w:val="00BB2A88"/>
    <w:rsid w:val="00BC2C0A"/>
    <w:rsid w:val="00BC35CC"/>
    <w:rsid w:val="00BD0E81"/>
    <w:rsid w:val="00BD6CE5"/>
    <w:rsid w:val="00BE00D8"/>
    <w:rsid w:val="00C15AD3"/>
    <w:rsid w:val="00C249E7"/>
    <w:rsid w:val="00C36A32"/>
    <w:rsid w:val="00C50A7B"/>
    <w:rsid w:val="00C520CC"/>
    <w:rsid w:val="00C55829"/>
    <w:rsid w:val="00C55C09"/>
    <w:rsid w:val="00C87A11"/>
    <w:rsid w:val="00C9241A"/>
    <w:rsid w:val="00C959CB"/>
    <w:rsid w:val="00CA303A"/>
    <w:rsid w:val="00CA56D5"/>
    <w:rsid w:val="00CA7B8C"/>
    <w:rsid w:val="00CC0ADA"/>
    <w:rsid w:val="00CC37AE"/>
    <w:rsid w:val="00CC52DD"/>
    <w:rsid w:val="00CC6BDF"/>
    <w:rsid w:val="00CE19A2"/>
    <w:rsid w:val="00CE41DF"/>
    <w:rsid w:val="00CF1AE1"/>
    <w:rsid w:val="00CF3E44"/>
    <w:rsid w:val="00CF7D54"/>
    <w:rsid w:val="00D03463"/>
    <w:rsid w:val="00D040A0"/>
    <w:rsid w:val="00D26267"/>
    <w:rsid w:val="00D42929"/>
    <w:rsid w:val="00D565E4"/>
    <w:rsid w:val="00D633F8"/>
    <w:rsid w:val="00D66BA0"/>
    <w:rsid w:val="00D7075A"/>
    <w:rsid w:val="00D803E7"/>
    <w:rsid w:val="00D8156F"/>
    <w:rsid w:val="00D81829"/>
    <w:rsid w:val="00D8535C"/>
    <w:rsid w:val="00D9725A"/>
    <w:rsid w:val="00DB4251"/>
    <w:rsid w:val="00DB5BFA"/>
    <w:rsid w:val="00DC40EB"/>
    <w:rsid w:val="00DD48D3"/>
    <w:rsid w:val="00DD571A"/>
    <w:rsid w:val="00DD61EA"/>
    <w:rsid w:val="00DE394D"/>
    <w:rsid w:val="00DF4EAA"/>
    <w:rsid w:val="00E02DED"/>
    <w:rsid w:val="00E17B53"/>
    <w:rsid w:val="00E24093"/>
    <w:rsid w:val="00E276CD"/>
    <w:rsid w:val="00E310D5"/>
    <w:rsid w:val="00E47C6E"/>
    <w:rsid w:val="00E551BD"/>
    <w:rsid w:val="00E72168"/>
    <w:rsid w:val="00E75CAC"/>
    <w:rsid w:val="00E83C7E"/>
    <w:rsid w:val="00E84569"/>
    <w:rsid w:val="00E86CAC"/>
    <w:rsid w:val="00E9372A"/>
    <w:rsid w:val="00EA1063"/>
    <w:rsid w:val="00EA7FAE"/>
    <w:rsid w:val="00EB5AFD"/>
    <w:rsid w:val="00EC1A10"/>
    <w:rsid w:val="00ED4685"/>
    <w:rsid w:val="00EF4542"/>
    <w:rsid w:val="00F10E50"/>
    <w:rsid w:val="00F2017B"/>
    <w:rsid w:val="00F2633F"/>
    <w:rsid w:val="00F26EA6"/>
    <w:rsid w:val="00F44462"/>
    <w:rsid w:val="00F51D1D"/>
    <w:rsid w:val="00F6386F"/>
    <w:rsid w:val="00F6733D"/>
    <w:rsid w:val="00F73209"/>
    <w:rsid w:val="00F73F86"/>
    <w:rsid w:val="00F82CB7"/>
    <w:rsid w:val="00F85622"/>
    <w:rsid w:val="00F869BA"/>
    <w:rsid w:val="00F90ECB"/>
    <w:rsid w:val="00F95A36"/>
    <w:rsid w:val="00FA514D"/>
    <w:rsid w:val="00FD18C7"/>
    <w:rsid w:val="00FD4C12"/>
    <w:rsid w:val="00FD4D3E"/>
    <w:rsid w:val="00FE2FE1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A92084"/>
  <w15:docId w15:val="{50562C6C-4304-4FDD-B9FD-FFC67E9A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bidi="te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66739"/>
    <w:pPr>
      <w:widowControl/>
      <w:autoSpaceDE/>
      <w:autoSpaceDN/>
      <w:adjustRightInd/>
      <w:jc w:val="center"/>
    </w:pPr>
    <w:rPr>
      <w:b/>
      <w:sz w:val="24"/>
      <w:lang w:bidi="ar-SA"/>
    </w:rPr>
  </w:style>
  <w:style w:type="paragraph" w:customStyle="1" w:styleId="3-normalyaz">
    <w:name w:val="3-normalyaz"/>
    <w:basedOn w:val="Normal"/>
    <w:rsid w:val="00CC52DD"/>
    <w:pPr>
      <w:widowControl/>
      <w:autoSpaceDE/>
      <w:autoSpaceDN/>
      <w:adjustRightInd/>
      <w:jc w:val="both"/>
    </w:pPr>
    <w:rPr>
      <w:sz w:val="19"/>
      <w:szCs w:val="19"/>
      <w:lang w:bidi="ar-SA"/>
    </w:rPr>
  </w:style>
  <w:style w:type="paragraph" w:styleId="AralkYok">
    <w:name w:val="No Spacing"/>
    <w:uiPriority w:val="1"/>
    <w:qFormat/>
    <w:rsid w:val="00053A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2946E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rsid w:val="00301F6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01F6C"/>
  </w:style>
  <w:style w:type="character" w:customStyle="1" w:styleId="AklamaMetniChar">
    <w:name w:val="Açıklama Metni Char"/>
    <w:basedOn w:val="VarsaylanParagrafYazTipi"/>
    <w:link w:val="AklamaMetni"/>
    <w:rsid w:val="00301F6C"/>
    <w:rPr>
      <w:lang w:bidi="te-IN"/>
    </w:rPr>
  </w:style>
  <w:style w:type="paragraph" w:styleId="AklamaKonusu">
    <w:name w:val="annotation subject"/>
    <w:basedOn w:val="AklamaMetni"/>
    <w:next w:val="AklamaMetni"/>
    <w:link w:val="AklamaKonusuChar"/>
    <w:rsid w:val="00301F6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01F6C"/>
    <w:rPr>
      <w:b/>
      <w:bCs/>
      <w:lang w:bidi="te-IN"/>
    </w:rPr>
  </w:style>
  <w:style w:type="paragraph" w:styleId="BalonMetni">
    <w:name w:val="Balloon Text"/>
    <w:basedOn w:val="Normal"/>
    <w:link w:val="BalonMetniChar"/>
    <w:rsid w:val="00301F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01F6C"/>
    <w:rPr>
      <w:rFonts w:ascii="Segoe UI" w:hAnsi="Segoe UI" w:cs="Segoe UI"/>
      <w:sz w:val="18"/>
      <w:szCs w:val="18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D0C5-77EE-47F6-83EA-00C41746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Lenovo</cp:lastModifiedBy>
  <cp:revision>2</cp:revision>
  <cp:lastPrinted>2009-07-09T13:57:00Z</cp:lastPrinted>
  <dcterms:created xsi:type="dcterms:W3CDTF">2022-03-18T15:49:00Z</dcterms:created>
  <dcterms:modified xsi:type="dcterms:W3CDTF">2022-03-18T15:49:00Z</dcterms:modified>
</cp:coreProperties>
</file>