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87" w:rsidRPr="00A85DAD" w:rsidRDefault="00250387" w:rsidP="00A06959">
      <w:pPr>
        <w:spacing w:after="0" w:line="240" w:lineRule="auto"/>
        <w:ind w:firstLine="567"/>
        <w:jc w:val="both"/>
        <w:rPr>
          <w:rFonts w:ascii="Times New Roman" w:hAnsi="Times New Roman" w:cs="Times New Roman"/>
          <w:b/>
          <w:color w:val="FF0000"/>
          <w:sz w:val="24"/>
          <w:szCs w:val="24"/>
        </w:rPr>
      </w:pPr>
    </w:p>
    <w:p w:rsidR="00A85DAD" w:rsidRPr="00A85DAD" w:rsidRDefault="00A06959" w:rsidP="00A06959">
      <w:pPr>
        <w:spacing w:after="0" w:line="240" w:lineRule="auto"/>
        <w:ind w:firstLine="567"/>
        <w:jc w:val="both"/>
        <w:rPr>
          <w:rFonts w:ascii="Times New Roman" w:hAnsi="Times New Roman" w:cs="Times New Roman"/>
          <w:b/>
          <w:color w:val="FF0000"/>
          <w:sz w:val="24"/>
          <w:szCs w:val="24"/>
        </w:rPr>
      </w:pPr>
      <w:r w:rsidRPr="00A85DAD">
        <w:rPr>
          <w:rFonts w:ascii="Times New Roman" w:hAnsi="Times New Roman" w:cs="Times New Roman"/>
          <w:b/>
          <w:color w:val="FF0000"/>
          <w:sz w:val="24"/>
          <w:szCs w:val="24"/>
        </w:rPr>
        <w:t>EK</w:t>
      </w:r>
      <w:r w:rsidR="00A85DAD" w:rsidRPr="00A85DAD">
        <w:rPr>
          <w:rFonts w:ascii="Times New Roman" w:hAnsi="Times New Roman" w:cs="Times New Roman"/>
          <w:b/>
          <w:color w:val="FF0000"/>
          <w:sz w:val="24"/>
          <w:szCs w:val="24"/>
        </w:rPr>
        <w:t>-</w:t>
      </w:r>
      <w:r w:rsidRPr="00A85DAD">
        <w:rPr>
          <w:rFonts w:ascii="Times New Roman" w:hAnsi="Times New Roman" w:cs="Times New Roman"/>
          <w:b/>
          <w:color w:val="FF0000"/>
          <w:sz w:val="24"/>
          <w:szCs w:val="24"/>
        </w:rPr>
        <w:t xml:space="preserve">3 </w:t>
      </w:r>
    </w:p>
    <w:p w:rsidR="00A85DAD" w:rsidRPr="00A85DAD" w:rsidRDefault="00A85DAD" w:rsidP="00A06959">
      <w:pPr>
        <w:spacing w:after="0" w:line="240" w:lineRule="auto"/>
        <w:ind w:firstLine="567"/>
        <w:jc w:val="both"/>
        <w:rPr>
          <w:rFonts w:ascii="Times New Roman" w:hAnsi="Times New Roman" w:cs="Times New Roman"/>
          <w:b/>
          <w:sz w:val="24"/>
          <w:szCs w:val="24"/>
          <w:u w:val="single"/>
        </w:rPr>
      </w:pPr>
    </w:p>
    <w:p w:rsidR="00A06959" w:rsidRPr="00A85DAD" w:rsidRDefault="00A06959" w:rsidP="00A06959">
      <w:pPr>
        <w:spacing w:after="0" w:line="240" w:lineRule="auto"/>
        <w:ind w:firstLine="567"/>
        <w:jc w:val="both"/>
        <w:rPr>
          <w:rFonts w:ascii="Times New Roman" w:hAnsi="Times New Roman" w:cs="Times New Roman"/>
          <w:b/>
          <w:sz w:val="24"/>
          <w:szCs w:val="24"/>
          <w:u w:val="single"/>
        </w:rPr>
      </w:pPr>
      <w:bookmarkStart w:id="0" w:name="_GoBack"/>
      <w:r w:rsidRPr="00A85DAD">
        <w:rPr>
          <w:rFonts w:ascii="Times New Roman" w:hAnsi="Times New Roman" w:cs="Times New Roman"/>
          <w:b/>
          <w:sz w:val="24"/>
          <w:szCs w:val="24"/>
          <w:u w:val="single"/>
        </w:rPr>
        <w:t>24.10.2024 tarih ve 24/115 sayılı kararı Senato kararı</w:t>
      </w:r>
    </w:p>
    <w:bookmarkEnd w:id="0"/>
    <w:p w:rsidR="00FA1F38" w:rsidRPr="00A85DAD" w:rsidRDefault="00FA1F38"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Karar 115-) Öğrenci İşleri Daire Başkanlığı’nın, Üniversitemiz Senatosunun 10.10.2024 tarih ve 23/109 sayılı kararı ile tekrir-i müzakere edilmesine karar verilen, doktora programlarında tez savunması öncesi aranılan yayın şartlarına ilişkin, 24.10.2024 tarih ve E.2400351170 sayılı yazısı okundu. Yapılan görüşmelerden sonra teklifin düzeltilmiş şekliyle kabulüne mevcudun oy birliği ile karar verildi.</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Üniversitemiz Enstitüleri bünyesinde yürütülmekte olan doktora ve sanatta yeterlik programlarına kayıtlı öğrencilerin tez savunmalarından önce danışmanı ile veya danışmanın yazılı onayı ile tez konusundan veya çalışma alanı ile ilgili bir konuda Atatürk Üniversitesi Öğretim Üyeliği Kadrolarına Başvuru İçin Gerekli Koşullar ve Uygulama </w:t>
      </w:r>
      <w:proofErr w:type="spellStart"/>
      <w:r w:rsidRPr="00A85DAD">
        <w:rPr>
          <w:rFonts w:ascii="Times New Roman" w:hAnsi="Times New Roman" w:cs="Times New Roman"/>
          <w:sz w:val="24"/>
          <w:szCs w:val="24"/>
        </w:rPr>
        <w:t>Esasları’nda</w:t>
      </w:r>
      <w:proofErr w:type="spellEnd"/>
      <w:r w:rsidRPr="00A85DAD">
        <w:rPr>
          <w:rFonts w:ascii="Times New Roman" w:hAnsi="Times New Roman" w:cs="Times New Roman"/>
          <w:sz w:val="24"/>
          <w:szCs w:val="24"/>
        </w:rPr>
        <w:t xml:space="preserve"> (Revizyon Tarihi: 05.01.2024) yer alan puanlandırma yöntemi ve “02.01 “Uluslararası Hakemli Dergide Makale veya 02.02 Ulusal Dergide Makale” alt başlıkları altında tanımlanan puanlandırma esas alınarak;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a) Üniversitelerarası Kurul (ÜAK) Temel Alanları: Fen Bilimleri ve Matematik; Mimarlık, Planlama ve Tasarım; </w:t>
      </w:r>
      <w:proofErr w:type="gramStart"/>
      <w:r w:rsidRPr="00A85DAD">
        <w:rPr>
          <w:rFonts w:ascii="Times New Roman" w:hAnsi="Times New Roman" w:cs="Times New Roman"/>
          <w:sz w:val="24"/>
          <w:szCs w:val="24"/>
        </w:rPr>
        <w:t>Mühendislik;</w:t>
      </w:r>
      <w:proofErr w:type="gramEnd"/>
      <w:r w:rsidRPr="00A85DAD">
        <w:rPr>
          <w:rFonts w:ascii="Times New Roman" w:hAnsi="Times New Roman" w:cs="Times New Roman"/>
          <w:sz w:val="24"/>
          <w:szCs w:val="24"/>
        </w:rPr>
        <w:t xml:space="preserve"> Sağlık Bilimleri; Ziraat, Orman ve Su Ürünleri Temel Alanları olan programlardaki öğrenciler için Atatürk Üniversitesi adresli olarak, SCIE, SSCI veya AHCI endeksinde yer alan hakemli dergide yayımlanmış (ya da DOI-Dijital Object </w:t>
      </w:r>
      <w:proofErr w:type="spellStart"/>
      <w:r w:rsidRPr="00A85DAD">
        <w:rPr>
          <w:rFonts w:ascii="Times New Roman" w:hAnsi="Times New Roman" w:cs="Times New Roman"/>
          <w:sz w:val="24"/>
          <w:szCs w:val="24"/>
        </w:rPr>
        <w:t>Identifier</w:t>
      </w:r>
      <w:proofErr w:type="spellEnd"/>
      <w:r w:rsidRPr="00A85DAD">
        <w:rPr>
          <w:rFonts w:ascii="Times New Roman" w:hAnsi="Times New Roman" w:cs="Times New Roman"/>
          <w:sz w:val="24"/>
          <w:szCs w:val="24"/>
        </w:rPr>
        <w:t xml:space="preserve">- numarası almış olması) tam araştırma makalesi veya derleme türü yayınlardan en az 8 (sekiz) puana sahip olmak,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b) Üniversitelerarası Kurul (ÜAK) Temel Alanları: Eğitim Bilimleri; Filoloji; Güzel Sanatlar; Hukuk; İlahiyat; Sosyal, Beşeri ve İdari Bilimler; Spor Bilimleri Temel Alanları olan programlardaki öğrenciler için Atatürk Üniversitesi adresli olarak, SCIE, SSCI, AHCI (Q1, Q2, Q3, Q4), SCOPUS (Q1, Q2, Q3, Q4), ESCI veya ULAKBİM TR Dizin endekslerinde yer alan hakemli dergide yayımlanmış (ya da DOI-Dijital Object </w:t>
      </w:r>
      <w:proofErr w:type="spellStart"/>
      <w:r w:rsidRPr="00A85DAD">
        <w:rPr>
          <w:rFonts w:ascii="Times New Roman" w:hAnsi="Times New Roman" w:cs="Times New Roman"/>
          <w:sz w:val="24"/>
          <w:szCs w:val="24"/>
        </w:rPr>
        <w:t>Identifier</w:t>
      </w:r>
      <w:proofErr w:type="spellEnd"/>
      <w:r w:rsidRPr="00A85DAD">
        <w:rPr>
          <w:rFonts w:ascii="Times New Roman" w:hAnsi="Times New Roman" w:cs="Times New Roman"/>
          <w:sz w:val="24"/>
          <w:szCs w:val="24"/>
        </w:rPr>
        <w:t xml:space="preserve">- numarası almış olması) tam araştırma makalesi veya derleme türü yayınlardan en az 5 (beş) puana sahip olmak, </w:t>
      </w:r>
    </w:p>
    <w:p w:rsidR="00C5250B"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c) Aşağıda yer alan şartlardan (</w:t>
      </w:r>
      <w:proofErr w:type="spellStart"/>
      <w:proofErr w:type="gramStart"/>
      <w:r w:rsidRPr="00A85DAD">
        <w:rPr>
          <w:rFonts w:ascii="Times New Roman" w:hAnsi="Times New Roman" w:cs="Times New Roman"/>
          <w:sz w:val="24"/>
          <w:szCs w:val="24"/>
        </w:rPr>
        <w:t>ç,d</w:t>
      </w:r>
      <w:proofErr w:type="gramEnd"/>
      <w:r w:rsidRPr="00A85DAD">
        <w:rPr>
          <w:rFonts w:ascii="Times New Roman" w:hAnsi="Times New Roman" w:cs="Times New Roman"/>
          <w:sz w:val="24"/>
          <w:szCs w:val="24"/>
        </w:rPr>
        <w:t>,e,f,g,h</w:t>
      </w:r>
      <w:proofErr w:type="spellEnd"/>
      <w:r w:rsidRPr="00A85DAD">
        <w:rPr>
          <w:rFonts w:ascii="Times New Roman" w:hAnsi="Times New Roman" w:cs="Times New Roman"/>
          <w:sz w:val="24"/>
          <w:szCs w:val="24"/>
        </w:rPr>
        <w:t xml:space="preserve"> bentlerindeki) herhangi birisinin sağlanması durumunda ilgili Enstitü Yönetim Kurulu kararıyla (a) ve (b) bentlerinde belirtilen yayın şartını yerine getirmiş olarak kabul edilebilmesine, uygulamanın 1 Ocak 2025 tarihinden itibaren tez savunmasında bulunacak öğrenciler için yürütülmesine karar verildi.</w:t>
      </w:r>
    </w:p>
    <w:p w:rsidR="00AB67DF" w:rsidRPr="00A85DAD" w:rsidRDefault="00AB67DF" w:rsidP="00A06959">
      <w:pPr>
        <w:spacing w:after="0" w:line="240" w:lineRule="auto"/>
        <w:ind w:firstLine="567"/>
        <w:jc w:val="both"/>
        <w:rPr>
          <w:rFonts w:ascii="Times New Roman" w:hAnsi="Times New Roman" w:cs="Times New Roman"/>
          <w:sz w:val="24"/>
          <w:szCs w:val="24"/>
        </w:rPr>
      </w:pPr>
      <w:proofErr w:type="gramStart"/>
      <w:r w:rsidRPr="00A85DAD">
        <w:rPr>
          <w:rFonts w:ascii="Times New Roman" w:hAnsi="Times New Roman" w:cs="Times New Roman"/>
          <w:sz w:val="24"/>
          <w:szCs w:val="24"/>
        </w:rPr>
        <w:t>ç</w:t>
      </w:r>
      <w:proofErr w:type="gramEnd"/>
      <w:r w:rsidRPr="00A85DAD">
        <w:rPr>
          <w:rFonts w:ascii="Times New Roman" w:hAnsi="Times New Roman" w:cs="Times New Roman"/>
          <w:sz w:val="24"/>
          <w:szCs w:val="24"/>
        </w:rPr>
        <w:t xml:space="preserve">) Tez konusunda veya çalışma alanı ile ilgili bir konuda tez öğrencisinin veya danışmanın buluş veya başvuru sahibi listesinde yer aldığı ulusal (Türk Patent ve Marka Kurumu tarafından tescillenmiş ve son 1 yıl içeresinde alınan) veya uluslararası (yurtdışı patent ofisleri tarafından tescillenmiş ve son 3 yıl içeresinde alınan) bir fikri mülkiyet (patent, faydalı model, tasarım) belgesi olması,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d) Tez konusunda veya çalışma alanı ile ilgili bir konuda danışmanın yürütücüsü olduğu son 2 yıl içerisinde sonuçlanmış veya halen devam eden üniversite dışı fonlardan alınan ulusal AR-GE ve Yenilik Destek Programları (TÜBİTAK, SSB, TAGEM, TENMAK, TİTCK, TÜSEB, TUSAŞ ve Diğer Bakanlıklar) veya Uluslararası Destek Programları (HORIZON, ERASMUS+ [KA2, KA3 ve Jean </w:t>
      </w:r>
      <w:proofErr w:type="spellStart"/>
      <w:r w:rsidRPr="00A85DAD">
        <w:rPr>
          <w:rFonts w:ascii="Times New Roman" w:hAnsi="Times New Roman" w:cs="Times New Roman"/>
          <w:sz w:val="24"/>
          <w:szCs w:val="24"/>
        </w:rPr>
        <w:t>Monnet</w:t>
      </w:r>
      <w:proofErr w:type="spellEnd"/>
      <w:r w:rsidRPr="00A85DAD">
        <w:rPr>
          <w:rFonts w:ascii="Times New Roman" w:hAnsi="Times New Roman" w:cs="Times New Roman"/>
          <w:sz w:val="24"/>
          <w:szCs w:val="24"/>
        </w:rPr>
        <w:t xml:space="preserve">], İkili ve Çoklu İş Birlikleri vb.) tarafından destelenen AR-GE projesi olması,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e) Tez öğrencisinin doktora eğitimi sürecinde TÜBİTAK 2214A, </w:t>
      </w:r>
      <w:proofErr w:type="gramStart"/>
      <w:r w:rsidRPr="00A85DAD">
        <w:rPr>
          <w:rFonts w:ascii="Times New Roman" w:hAnsi="Times New Roman" w:cs="Times New Roman"/>
          <w:sz w:val="24"/>
          <w:szCs w:val="24"/>
        </w:rPr>
        <w:t>2213B,</w:t>
      </w:r>
      <w:proofErr w:type="gramEnd"/>
      <w:r w:rsidRPr="00A85DAD">
        <w:rPr>
          <w:rFonts w:ascii="Times New Roman" w:hAnsi="Times New Roman" w:cs="Times New Roman"/>
          <w:sz w:val="24"/>
          <w:szCs w:val="24"/>
        </w:rPr>
        <w:t xml:space="preserve"> veya YÖK Genç Beyinler Programı kapsamında destek alması ve programı başarı ile bitirmiş olması,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f) Tez öğrencisinin doktora eğitimi sürecinde TÜBİTAK 2244-Sanayi Doktora Programı kapsamında destek alıyor olması, </w:t>
      </w:r>
    </w:p>
    <w:p w:rsidR="00AB67DF" w:rsidRPr="00A85DAD" w:rsidRDefault="00AB67DF" w:rsidP="00A06959">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g) Tez konusunun tez öğrencisi ya da danışmanın yürütücülüğünde (tez öğrencisinin projede en az 1 yıl süreyle görev alması şartıyla) üniversite dışı ulusal (TÜBİTAK, SSB, TAGEM, TENMAK, TİTCK, TÜSEB, TUSAŞ ve Diğer Bakanlıklar) veya uluslararası fon kuruluşları (HORIZON, ERASMUS+ [KA2, KA3 ve Jean </w:t>
      </w:r>
      <w:proofErr w:type="spellStart"/>
      <w:r w:rsidRPr="00A85DAD">
        <w:rPr>
          <w:rFonts w:ascii="Times New Roman" w:hAnsi="Times New Roman" w:cs="Times New Roman"/>
          <w:sz w:val="24"/>
          <w:szCs w:val="24"/>
        </w:rPr>
        <w:t>Monnet</w:t>
      </w:r>
      <w:proofErr w:type="spellEnd"/>
      <w:r w:rsidRPr="00A85DAD">
        <w:rPr>
          <w:rFonts w:ascii="Times New Roman" w:hAnsi="Times New Roman" w:cs="Times New Roman"/>
          <w:sz w:val="24"/>
          <w:szCs w:val="24"/>
        </w:rPr>
        <w:t xml:space="preserve">], İkili ve Çoklu İş Birlikleri vb.) tarafından bilimsel bir araştırma projesi kapsamında desteklenmiş olması, </w:t>
      </w:r>
    </w:p>
    <w:p w:rsidR="00A06959" w:rsidRPr="00A85DAD" w:rsidRDefault="00AB67DF" w:rsidP="00A85DAD">
      <w:pPr>
        <w:spacing w:after="0" w:line="240" w:lineRule="auto"/>
        <w:ind w:firstLine="567"/>
        <w:jc w:val="both"/>
        <w:rPr>
          <w:rFonts w:ascii="Times New Roman" w:hAnsi="Times New Roman" w:cs="Times New Roman"/>
          <w:sz w:val="24"/>
          <w:szCs w:val="24"/>
        </w:rPr>
      </w:pPr>
      <w:r w:rsidRPr="00A85DAD">
        <w:rPr>
          <w:rFonts w:ascii="Times New Roman" w:hAnsi="Times New Roman" w:cs="Times New Roman"/>
          <w:sz w:val="24"/>
          <w:szCs w:val="24"/>
        </w:rPr>
        <w:t xml:space="preserve">h) Tez öğrencisinin Atatürk Kültür Dil ve Tarih Yüksek Kurumu Başkanlığı (Alt kurumları olan Türk Tarih Kurumu, Türk Dil Kurumu, Atatürk Araştırma Merkezi, Atatürk Kültür Merkezi) </w:t>
      </w:r>
      <w:proofErr w:type="spellStart"/>
      <w:r w:rsidRPr="00A85DAD">
        <w:rPr>
          <w:rFonts w:ascii="Times New Roman" w:hAnsi="Times New Roman" w:cs="Times New Roman"/>
          <w:sz w:val="24"/>
          <w:szCs w:val="24"/>
        </w:rPr>
        <w:t>bursiyeri</w:t>
      </w:r>
      <w:proofErr w:type="spellEnd"/>
      <w:r w:rsidRPr="00A85DAD">
        <w:rPr>
          <w:rFonts w:ascii="Times New Roman" w:hAnsi="Times New Roman" w:cs="Times New Roman"/>
          <w:sz w:val="24"/>
          <w:szCs w:val="24"/>
        </w:rPr>
        <w:t xml:space="preserve"> olması,</w:t>
      </w:r>
    </w:p>
    <w:sectPr w:rsidR="00A06959" w:rsidRPr="00A85DAD" w:rsidSect="00A06959">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03"/>
    <w:rsid w:val="000262B2"/>
    <w:rsid w:val="00250387"/>
    <w:rsid w:val="00473A83"/>
    <w:rsid w:val="00A06959"/>
    <w:rsid w:val="00A85DAD"/>
    <w:rsid w:val="00AB67DF"/>
    <w:rsid w:val="00BC1D03"/>
    <w:rsid w:val="00C335E3"/>
    <w:rsid w:val="00C5250B"/>
    <w:rsid w:val="00C55656"/>
    <w:rsid w:val="00CF6AD4"/>
    <w:rsid w:val="00FA1F38"/>
    <w:rsid w:val="00FB3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644A"/>
  <w15:chartTrackingRefBased/>
  <w15:docId w15:val="{53F7A253-4EFB-4FC8-837C-8EEA8DD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Başkanlığı</dc:creator>
  <cp:keywords/>
  <dc:description/>
  <cp:lastModifiedBy>BELGE YÖNETİM</cp:lastModifiedBy>
  <cp:revision>3</cp:revision>
  <dcterms:created xsi:type="dcterms:W3CDTF">2024-11-15T13:21:00Z</dcterms:created>
  <dcterms:modified xsi:type="dcterms:W3CDTF">2024-11-15T13:23:00Z</dcterms:modified>
</cp:coreProperties>
</file>