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5F8" w:rsidRPr="00167EA4" w:rsidRDefault="00F875F8" w:rsidP="00BB069E">
      <w:pPr>
        <w:spacing w:line="360" w:lineRule="auto"/>
        <w:ind w:left="6480" w:firstLine="720"/>
        <w:jc w:val="both"/>
        <w:rPr>
          <w:color w:val="000000"/>
          <w:sz w:val="22"/>
          <w:szCs w:val="22"/>
        </w:rPr>
      </w:pPr>
    </w:p>
    <w:p w:rsidR="00BB069E" w:rsidRPr="00167EA4" w:rsidRDefault="00BB069E" w:rsidP="00BB069E">
      <w:pPr>
        <w:shd w:val="clear" w:color="auto" w:fill="FFFFFF"/>
        <w:autoSpaceDE w:val="0"/>
        <w:autoSpaceDN w:val="0"/>
        <w:adjustRightInd w:val="0"/>
        <w:spacing w:line="276" w:lineRule="auto"/>
        <w:jc w:val="center"/>
        <w:rPr>
          <w:b/>
          <w:bCs/>
          <w:sz w:val="22"/>
          <w:szCs w:val="22"/>
        </w:rPr>
      </w:pPr>
      <w:r w:rsidRPr="00167EA4">
        <w:rPr>
          <w:b/>
          <w:bCs/>
          <w:sz w:val="22"/>
          <w:szCs w:val="22"/>
        </w:rPr>
        <w:t>TEZ BEYAN BİLDİRİMİ</w:t>
      </w:r>
    </w:p>
    <w:p w:rsidR="00BB069E" w:rsidRPr="00167EA4" w:rsidRDefault="00BB069E" w:rsidP="00BB069E">
      <w:pPr>
        <w:shd w:val="clear" w:color="auto" w:fill="FFFFFF"/>
        <w:autoSpaceDE w:val="0"/>
        <w:autoSpaceDN w:val="0"/>
        <w:adjustRightInd w:val="0"/>
        <w:spacing w:line="276" w:lineRule="auto"/>
        <w:jc w:val="both"/>
        <w:rPr>
          <w:bCs/>
          <w:spacing w:val="-4"/>
          <w:sz w:val="22"/>
          <w:szCs w:val="22"/>
        </w:rPr>
      </w:pPr>
      <w:r w:rsidRPr="00167EA4">
        <w:rPr>
          <w:bCs/>
          <w:i/>
          <w:iCs/>
          <w:spacing w:val="-4"/>
          <w:sz w:val="22"/>
          <w:szCs w:val="22"/>
        </w:rPr>
        <w:t xml:space="preserve">Atatürk Üniversitesi Lisansüstü Eğitim ve Öğretim Uygulama </w:t>
      </w:r>
      <w:proofErr w:type="spellStart"/>
      <w:r w:rsidRPr="00167EA4">
        <w:rPr>
          <w:bCs/>
          <w:i/>
          <w:iCs/>
          <w:spacing w:val="-4"/>
          <w:sz w:val="22"/>
          <w:szCs w:val="22"/>
        </w:rPr>
        <w:t>Esasları</w:t>
      </w:r>
      <w:r w:rsidRPr="00167EA4">
        <w:rPr>
          <w:bCs/>
          <w:spacing w:val="-4"/>
          <w:sz w:val="22"/>
          <w:szCs w:val="22"/>
        </w:rPr>
        <w:t>’nın</w:t>
      </w:r>
      <w:proofErr w:type="spellEnd"/>
      <w:r w:rsidRPr="00167EA4">
        <w:rPr>
          <w:spacing w:val="-4"/>
          <w:sz w:val="22"/>
          <w:szCs w:val="22"/>
        </w:rPr>
        <w:t xml:space="preserve"> ilgili maddelerine göre hazırlamış olduğum </w:t>
      </w:r>
      <w:r w:rsidRPr="00167EA4">
        <w:rPr>
          <w:b/>
          <w:bCs/>
          <w:i/>
          <w:iCs/>
          <w:spacing w:val="-4"/>
          <w:sz w:val="22"/>
          <w:szCs w:val="22"/>
        </w:rPr>
        <w:t>“</w:t>
      </w:r>
      <w:proofErr w:type="gramStart"/>
      <w:r w:rsidRPr="00167EA4">
        <w:rPr>
          <w:b/>
          <w:bCs/>
          <w:i/>
          <w:iCs/>
          <w:spacing w:val="-4"/>
          <w:sz w:val="22"/>
          <w:szCs w:val="22"/>
        </w:rPr>
        <w:t>.................................................................................</w:t>
      </w:r>
      <w:proofErr w:type="gramEnd"/>
      <w:r w:rsidRPr="00167EA4">
        <w:rPr>
          <w:b/>
          <w:bCs/>
          <w:i/>
          <w:iCs/>
          <w:spacing w:val="-4"/>
          <w:sz w:val="22"/>
          <w:szCs w:val="22"/>
        </w:rPr>
        <w:t>”</w:t>
      </w:r>
      <w:r w:rsidRPr="00167EA4">
        <w:rPr>
          <w:bCs/>
          <w:spacing w:val="-4"/>
          <w:sz w:val="22"/>
          <w:szCs w:val="22"/>
        </w:rPr>
        <w:t xml:space="preserve"> adlı tezin tamamen kendi çalışmam olduğunu ve her alıntıyı kaynak gösterdiğimi taahhüt ederim.</w:t>
      </w:r>
    </w:p>
    <w:p w:rsidR="00BB069E" w:rsidRPr="00167EA4" w:rsidRDefault="00BB069E" w:rsidP="00BB069E">
      <w:pPr>
        <w:shd w:val="clear" w:color="auto" w:fill="FFFFFF"/>
        <w:autoSpaceDE w:val="0"/>
        <w:autoSpaceDN w:val="0"/>
        <w:adjustRightInd w:val="0"/>
        <w:spacing w:line="276" w:lineRule="auto"/>
        <w:jc w:val="both"/>
        <w:rPr>
          <w:bCs/>
          <w:spacing w:val="-4"/>
          <w:sz w:val="22"/>
          <w:szCs w:val="22"/>
        </w:rPr>
      </w:pPr>
    </w:p>
    <w:p w:rsidR="00BB069E" w:rsidRPr="00167EA4" w:rsidRDefault="00BB069E" w:rsidP="00BB069E">
      <w:pPr>
        <w:shd w:val="clear" w:color="auto" w:fill="FFFFFF"/>
        <w:autoSpaceDE w:val="0"/>
        <w:autoSpaceDN w:val="0"/>
        <w:adjustRightInd w:val="0"/>
        <w:spacing w:line="276" w:lineRule="auto"/>
        <w:jc w:val="both"/>
        <w:rPr>
          <w:bCs/>
          <w:spacing w:val="-4"/>
          <w:sz w:val="22"/>
          <w:szCs w:val="22"/>
        </w:rPr>
      </w:pPr>
      <w:proofErr w:type="gramStart"/>
      <w:r w:rsidRPr="00167EA4">
        <w:rPr>
          <w:rFonts w:ascii="Segoe UI Symbol" w:eastAsia="MS Gothic" w:hAnsi="Segoe UI Symbol" w:cs="Segoe UI Symbol"/>
          <w:sz w:val="22"/>
          <w:szCs w:val="22"/>
          <w:lang w:eastAsia="en-US"/>
        </w:rPr>
        <w:t>☐</w:t>
      </w:r>
      <w:r w:rsidRPr="00167EA4">
        <w:rPr>
          <w:color w:val="000000"/>
          <w:sz w:val="22"/>
          <w:szCs w:val="22"/>
        </w:rPr>
        <w:t xml:space="preserve"> T</w:t>
      </w:r>
      <w:r w:rsidRPr="00167EA4">
        <w:rPr>
          <w:bCs/>
          <w:spacing w:val="-4"/>
          <w:sz w:val="22"/>
          <w:szCs w:val="22"/>
        </w:rPr>
        <w:t xml:space="preserve">ezimin Yükseköğretim Kurulu Başkanlığı tarafından yayınlanan </w:t>
      </w:r>
      <w:r w:rsidRPr="00167EA4">
        <w:rPr>
          <w:bCs/>
          <w:i/>
          <w:iCs/>
          <w:spacing w:val="-4"/>
          <w:sz w:val="22"/>
          <w:szCs w:val="22"/>
        </w:rPr>
        <w:t xml:space="preserve">Lisansüstü Tezlerin Elektronik Ortamda Toplanması, Düzenlenmesi ve Erişime Açılmasına İlişkin </w:t>
      </w:r>
      <w:proofErr w:type="spellStart"/>
      <w:r w:rsidRPr="00167EA4">
        <w:rPr>
          <w:bCs/>
          <w:i/>
          <w:iCs/>
          <w:spacing w:val="-4"/>
          <w:sz w:val="22"/>
          <w:szCs w:val="22"/>
        </w:rPr>
        <w:t>Yönerge</w:t>
      </w:r>
      <w:r w:rsidRPr="00167EA4">
        <w:rPr>
          <w:bCs/>
          <w:spacing w:val="-4"/>
          <w:sz w:val="22"/>
          <w:szCs w:val="22"/>
        </w:rPr>
        <w:t>’nin</w:t>
      </w:r>
      <w:proofErr w:type="spellEnd"/>
      <w:r w:rsidRPr="00167EA4">
        <w:rPr>
          <w:bCs/>
          <w:spacing w:val="-4"/>
          <w:sz w:val="22"/>
          <w:szCs w:val="22"/>
        </w:rPr>
        <w:t xml:space="preserve"> lisansüstü tezlerin düzenlenmesini ve erişime açılmasını düzenleyen 5. maddesinin 1. fıkrasına göre [</w:t>
      </w:r>
      <w:r w:rsidRPr="00167EA4">
        <w:rPr>
          <w:bCs/>
          <w:i/>
          <w:iCs/>
          <w:spacing w:val="-4"/>
          <w:sz w:val="22"/>
          <w:szCs w:val="22"/>
        </w:rPr>
        <w:t>Ulusal Tez Merkezi, enstitü ve fakülteler tarafından Tez Otomasyon Sistemine yüklenen tezlerin bibliyografik bilgilerini kontrol eder, kataloglama kurallarına göre düzenler, konu başlıklarını belirler ve tam metin olarak internet üzerinden erişime açar.</w:t>
      </w:r>
      <w:r w:rsidRPr="00167EA4">
        <w:rPr>
          <w:bCs/>
          <w:spacing w:val="-4"/>
          <w:sz w:val="22"/>
          <w:szCs w:val="22"/>
        </w:rPr>
        <w:t xml:space="preserve">] </w:t>
      </w:r>
      <w:r w:rsidRPr="00167EA4">
        <w:rPr>
          <w:b/>
          <w:spacing w:val="-4"/>
          <w:sz w:val="22"/>
          <w:szCs w:val="22"/>
        </w:rPr>
        <w:t>basılı ve elektronik kopyalarına erişim izni verdiğimi onaylarım</w:t>
      </w:r>
      <w:r w:rsidRPr="00167EA4">
        <w:rPr>
          <w:spacing w:val="-4"/>
          <w:sz w:val="22"/>
          <w:szCs w:val="22"/>
        </w:rPr>
        <w:t>.</w:t>
      </w:r>
      <w:proofErr w:type="gramEnd"/>
    </w:p>
    <w:p w:rsidR="00BB069E" w:rsidRDefault="00BB069E" w:rsidP="00BB069E">
      <w:pPr>
        <w:shd w:val="clear" w:color="auto" w:fill="FFFFFF"/>
        <w:autoSpaceDE w:val="0"/>
        <w:autoSpaceDN w:val="0"/>
        <w:adjustRightInd w:val="0"/>
        <w:spacing w:line="276" w:lineRule="auto"/>
        <w:jc w:val="center"/>
        <w:rPr>
          <w:b/>
          <w:bCs/>
          <w:sz w:val="22"/>
          <w:szCs w:val="22"/>
        </w:rPr>
      </w:pPr>
    </w:p>
    <w:p w:rsidR="00F875F8" w:rsidRPr="00167EA4" w:rsidRDefault="00F875F8" w:rsidP="00BB069E">
      <w:pPr>
        <w:shd w:val="clear" w:color="auto" w:fill="FFFFFF"/>
        <w:autoSpaceDE w:val="0"/>
        <w:autoSpaceDN w:val="0"/>
        <w:adjustRightInd w:val="0"/>
        <w:spacing w:line="276" w:lineRule="auto"/>
        <w:jc w:val="center"/>
        <w:rPr>
          <w:b/>
          <w:bCs/>
          <w:sz w:val="22"/>
          <w:szCs w:val="22"/>
        </w:rPr>
      </w:pPr>
    </w:p>
    <w:p w:rsidR="00BB069E" w:rsidRPr="00167EA4" w:rsidRDefault="00BB069E" w:rsidP="00BB069E">
      <w:pPr>
        <w:shd w:val="clear" w:color="auto" w:fill="FFFFFF"/>
        <w:autoSpaceDE w:val="0"/>
        <w:autoSpaceDN w:val="0"/>
        <w:adjustRightInd w:val="0"/>
        <w:spacing w:line="276" w:lineRule="auto"/>
        <w:jc w:val="center"/>
        <w:rPr>
          <w:b/>
          <w:bCs/>
          <w:color w:val="595959"/>
          <w:sz w:val="22"/>
          <w:szCs w:val="22"/>
        </w:rPr>
      </w:pPr>
      <w:r w:rsidRPr="00167EA4">
        <w:rPr>
          <w:b/>
          <w:bCs/>
          <w:color w:val="595959"/>
          <w:sz w:val="22"/>
          <w:szCs w:val="22"/>
        </w:rPr>
        <w:t>İSTİSNAİ DURUMLAR*</w:t>
      </w:r>
    </w:p>
    <w:p w:rsidR="00BB069E" w:rsidRPr="00167EA4" w:rsidRDefault="00BB069E" w:rsidP="00BB069E">
      <w:pPr>
        <w:jc w:val="both"/>
        <w:rPr>
          <w:color w:val="595959"/>
          <w:sz w:val="22"/>
          <w:szCs w:val="22"/>
        </w:rPr>
      </w:pPr>
      <w:r w:rsidRPr="00167EA4">
        <w:rPr>
          <w:rFonts w:ascii="Segoe UI Symbol" w:eastAsia="MS Gothic" w:hAnsi="Segoe UI Symbol" w:cs="Segoe UI Symbol"/>
          <w:color w:val="595959"/>
          <w:sz w:val="22"/>
          <w:szCs w:val="22"/>
          <w:lang w:eastAsia="en-US"/>
        </w:rPr>
        <w:t>☐</w:t>
      </w:r>
      <w:r w:rsidRPr="00167EA4">
        <w:rPr>
          <w:color w:val="595959"/>
          <w:sz w:val="22"/>
          <w:szCs w:val="22"/>
        </w:rPr>
        <w:t xml:space="preserve"> </w:t>
      </w:r>
      <w:r w:rsidRPr="00167EA4">
        <w:rPr>
          <w:b/>
          <w:color w:val="595959"/>
          <w:sz w:val="22"/>
          <w:szCs w:val="22"/>
        </w:rPr>
        <w:t>Patent alma sürecinin devam etmesi sebebiyle (2 Yıl)</w:t>
      </w:r>
    </w:p>
    <w:p w:rsidR="00BB069E" w:rsidRPr="00167EA4" w:rsidRDefault="00BB069E" w:rsidP="00BB069E">
      <w:pPr>
        <w:jc w:val="both"/>
        <w:rPr>
          <w:bCs/>
          <w:color w:val="595959"/>
          <w:spacing w:val="-4"/>
          <w:sz w:val="22"/>
          <w:szCs w:val="22"/>
        </w:rPr>
      </w:pPr>
      <w:r w:rsidRPr="00167EA4">
        <w:rPr>
          <w:bCs/>
          <w:color w:val="595959"/>
          <w:spacing w:val="-4"/>
          <w:sz w:val="22"/>
          <w:szCs w:val="22"/>
        </w:rPr>
        <w:t xml:space="preserve">Yükseköğretim Kurulu Başkanlığı tarafından yayınlanan </w:t>
      </w:r>
      <w:r w:rsidRPr="00167EA4">
        <w:rPr>
          <w:bCs/>
          <w:i/>
          <w:iCs/>
          <w:color w:val="595959"/>
          <w:spacing w:val="-4"/>
          <w:sz w:val="22"/>
          <w:szCs w:val="22"/>
        </w:rPr>
        <w:t xml:space="preserve">Lisansüstü Tezlerin Elektronik Ortamda Toplanması, Düzenlenmesi ve Erişime Açılmasına İlişkin </w:t>
      </w:r>
      <w:proofErr w:type="spellStart"/>
      <w:r w:rsidRPr="00167EA4">
        <w:rPr>
          <w:bCs/>
          <w:i/>
          <w:iCs/>
          <w:color w:val="595959"/>
          <w:spacing w:val="-4"/>
          <w:sz w:val="22"/>
          <w:szCs w:val="22"/>
        </w:rPr>
        <w:t>Yönerge</w:t>
      </w:r>
      <w:r w:rsidRPr="00167EA4">
        <w:rPr>
          <w:bCs/>
          <w:color w:val="595959"/>
          <w:spacing w:val="-4"/>
          <w:sz w:val="22"/>
          <w:szCs w:val="22"/>
        </w:rPr>
        <w:t>’nin</w:t>
      </w:r>
      <w:proofErr w:type="spellEnd"/>
      <w:r w:rsidRPr="00167EA4">
        <w:rPr>
          <w:bCs/>
          <w:color w:val="595959"/>
          <w:spacing w:val="-4"/>
          <w:sz w:val="22"/>
          <w:szCs w:val="22"/>
        </w:rPr>
        <w:t xml:space="preserve"> lisansüstü tezlerin erişime açılmasının ertelenmesini düzenleyen 6. maddesinin 1. fıkrasına göre tezle ilgili patent başvurusu yapılması veya patent alma sürecinin devam etmesi sebebiyle teze erişim, Enstitümüz Yönetim Kurulunun </w:t>
      </w:r>
      <w:proofErr w:type="gramStart"/>
      <w:r w:rsidRPr="00167EA4">
        <w:rPr>
          <w:bCs/>
          <w:color w:val="595959"/>
          <w:spacing w:val="-4"/>
          <w:sz w:val="22"/>
          <w:szCs w:val="22"/>
        </w:rPr>
        <w:t>….</w:t>
      </w:r>
      <w:proofErr w:type="gramEnd"/>
      <w:r w:rsidRPr="00167EA4">
        <w:rPr>
          <w:bCs/>
          <w:color w:val="595959"/>
          <w:spacing w:val="-4"/>
          <w:sz w:val="22"/>
          <w:szCs w:val="22"/>
        </w:rPr>
        <w:t xml:space="preserve">/…/…. tarih ve </w:t>
      </w:r>
      <w:proofErr w:type="gramStart"/>
      <w:r w:rsidRPr="00167EA4">
        <w:rPr>
          <w:bCs/>
          <w:color w:val="595959"/>
          <w:spacing w:val="-4"/>
          <w:sz w:val="22"/>
          <w:szCs w:val="22"/>
        </w:rPr>
        <w:t>………</w:t>
      </w:r>
      <w:proofErr w:type="gramEnd"/>
      <w:r w:rsidRPr="00167EA4">
        <w:rPr>
          <w:bCs/>
          <w:color w:val="595959"/>
          <w:spacing w:val="-4"/>
          <w:sz w:val="22"/>
          <w:szCs w:val="22"/>
        </w:rPr>
        <w:t xml:space="preserve"> </w:t>
      </w:r>
      <w:proofErr w:type="gramStart"/>
      <w:r w:rsidRPr="00167EA4">
        <w:rPr>
          <w:bCs/>
          <w:color w:val="595959"/>
          <w:spacing w:val="-4"/>
          <w:sz w:val="22"/>
          <w:szCs w:val="22"/>
        </w:rPr>
        <w:t>sayılı</w:t>
      </w:r>
      <w:proofErr w:type="gramEnd"/>
      <w:r w:rsidRPr="00167EA4">
        <w:rPr>
          <w:bCs/>
          <w:color w:val="595959"/>
          <w:spacing w:val="-4"/>
          <w:sz w:val="22"/>
          <w:szCs w:val="22"/>
        </w:rPr>
        <w:t xml:space="preserve"> kararı ile 2 (iki) yıl süreyle engellenmiştir.</w:t>
      </w:r>
    </w:p>
    <w:p w:rsidR="00BB069E" w:rsidRPr="00167EA4" w:rsidRDefault="00BB069E" w:rsidP="00BB069E">
      <w:pPr>
        <w:ind w:firstLine="567"/>
        <w:rPr>
          <w:rFonts w:eastAsia="Calibri"/>
          <w:color w:val="595959"/>
          <w:sz w:val="22"/>
          <w:szCs w:val="22"/>
          <w:lang w:eastAsia="en-US"/>
        </w:rPr>
      </w:pPr>
    </w:p>
    <w:p w:rsidR="00BB069E" w:rsidRPr="00167EA4" w:rsidRDefault="00BB069E" w:rsidP="00BB069E">
      <w:pPr>
        <w:jc w:val="both"/>
        <w:rPr>
          <w:b/>
          <w:color w:val="595959"/>
          <w:sz w:val="22"/>
          <w:szCs w:val="22"/>
        </w:rPr>
      </w:pPr>
      <w:r w:rsidRPr="00167EA4">
        <w:rPr>
          <w:rFonts w:ascii="Segoe UI Symbol" w:eastAsia="MS Gothic" w:hAnsi="Segoe UI Symbol" w:cs="Segoe UI Symbol"/>
          <w:color w:val="595959"/>
          <w:sz w:val="22"/>
          <w:szCs w:val="22"/>
          <w:lang w:eastAsia="en-US"/>
        </w:rPr>
        <w:t>☐</w:t>
      </w:r>
      <w:r w:rsidRPr="00167EA4">
        <w:rPr>
          <w:rFonts w:eastAsia="Calibri"/>
          <w:color w:val="595959"/>
          <w:sz w:val="22"/>
          <w:szCs w:val="22"/>
          <w:lang w:eastAsia="en-US"/>
        </w:rPr>
        <w:t xml:space="preserve"> </w:t>
      </w:r>
      <w:r w:rsidRPr="00167EA4">
        <w:rPr>
          <w:b/>
          <w:color w:val="595959"/>
          <w:sz w:val="22"/>
          <w:szCs w:val="22"/>
        </w:rPr>
        <w:t>Yeni Teknik, Materyal ve Metotların Varlığı (6 ay)</w:t>
      </w:r>
    </w:p>
    <w:p w:rsidR="00BB069E" w:rsidRPr="00167EA4" w:rsidRDefault="00BB069E" w:rsidP="00BB069E">
      <w:pPr>
        <w:jc w:val="both"/>
        <w:rPr>
          <w:bCs/>
          <w:color w:val="595959"/>
          <w:spacing w:val="-4"/>
          <w:sz w:val="22"/>
          <w:szCs w:val="22"/>
        </w:rPr>
      </w:pPr>
      <w:r w:rsidRPr="00167EA4">
        <w:rPr>
          <w:bCs/>
          <w:color w:val="595959"/>
          <w:spacing w:val="-4"/>
          <w:sz w:val="22"/>
          <w:szCs w:val="22"/>
        </w:rPr>
        <w:t xml:space="preserve">Yükseköğretim Kurulu Başkanlığı tarafından yayınlanan </w:t>
      </w:r>
      <w:r w:rsidRPr="00167EA4">
        <w:rPr>
          <w:bCs/>
          <w:i/>
          <w:iCs/>
          <w:color w:val="595959"/>
          <w:spacing w:val="-4"/>
          <w:sz w:val="22"/>
          <w:szCs w:val="22"/>
        </w:rPr>
        <w:t xml:space="preserve">Lisansüstü Tezlerin Elektronik Ortamda Toplanması, Düzenlenmesi ve Erişime Açılmasına İlişkin </w:t>
      </w:r>
      <w:proofErr w:type="spellStart"/>
      <w:r w:rsidRPr="00167EA4">
        <w:rPr>
          <w:bCs/>
          <w:i/>
          <w:iCs/>
          <w:color w:val="595959"/>
          <w:spacing w:val="-4"/>
          <w:sz w:val="22"/>
          <w:szCs w:val="22"/>
        </w:rPr>
        <w:t>Yönerge</w:t>
      </w:r>
      <w:r w:rsidRPr="00167EA4">
        <w:rPr>
          <w:bCs/>
          <w:color w:val="595959"/>
          <w:spacing w:val="-4"/>
          <w:sz w:val="22"/>
          <w:szCs w:val="22"/>
        </w:rPr>
        <w:t>’nin</w:t>
      </w:r>
      <w:proofErr w:type="spellEnd"/>
      <w:r w:rsidRPr="00167EA4">
        <w:rPr>
          <w:bCs/>
          <w:color w:val="595959"/>
          <w:spacing w:val="-4"/>
          <w:sz w:val="22"/>
          <w:szCs w:val="22"/>
        </w:rPr>
        <w:t xml:space="preserve"> lisansüstü tezlerin erişime açılmasının ertelenmesini düzenleyen 6. maddesinin 2. fıkrasına göre tezde yeni teknik, materyal ve metotlar kullanıldığı, henüz makaleye dönüşmemiş veya patent gibi yöntemlerle korunmamış ve internetten paylaşılması durumunda 3. şahıslara veya kurumlara haksız kazanç imkânı oluşturabilecek bilgi ve bulguları içerdiği için tez danışmanının önerisi ve ana bilim dalının uygun görüşü üzerine Enstitümüz Yönetim Kurulunun </w:t>
      </w:r>
      <w:proofErr w:type="gramStart"/>
      <w:r w:rsidRPr="00167EA4">
        <w:rPr>
          <w:bCs/>
          <w:color w:val="595959"/>
          <w:spacing w:val="-4"/>
          <w:sz w:val="22"/>
          <w:szCs w:val="22"/>
        </w:rPr>
        <w:t>….</w:t>
      </w:r>
      <w:proofErr w:type="gramEnd"/>
      <w:r w:rsidRPr="00167EA4">
        <w:rPr>
          <w:bCs/>
          <w:color w:val="595959"/>
          <w:spacing w:val="-4"/>
          <w:sz w:val="22"/>
          <w:szCs w:val="22"/>
        </w:rPr>
        <w:t xml:space="preserve">/…/…. tarih ve </w:t>
      </w:r>
      <w:proofErr w:type="gramStart"/>
      <w:r w:rsidRPr="00167EA4">
        <w:rPr>
          <w:bCs/>
          <w:color w:val="595959"/>
          <w:spacing w:val="-4"/>
          <w:sz w:val="22"/>
          <w:szCs w:val="22"/>
        </w:rPr>
        <w:t>………….</w:t>
      </w:r>
      <w:proofErr w:type="gramEnd"/>
      <w:r w:rsidRPr="00167EA4">
        <w:rPr>
          <w:bCs/>
          <w:color w:val="595959"/>
          <w:spacing w:val="-4"/>
          <w:sz w:val="22"/>
          <w:szCs w:val="22"/>
        </w:rPr>
        <w:t xml:space="preserve"> </w:t>
      </w:r>
      <w:proofErr w:type="gramStart"/>
      <w:r w:rsidRPr="00167EA4">
        <w:rPr>
          <w:bCs/>
          <w:color w:val="595959"/>
          <w:spacing w:val="-4"/>
          <w:sz w:val="22"/>
          <w:szCs w:val="22"/>
        </w:rPr>
        <w:t>sayılı</w:t>
      </w:r>
      <w:proofErr w:type="gramEnd"/>
      <w:r w:rsidRPr="00167EA4">
        <w:rPr>
          <w:bCs/>
          <w:color w:val="595959"/>
          <w:spacing w:val="-4"/>
          <w:sz w:val="22"/>
          <w:szCs w:val="22"/>
        </w:rPr>
        <w:t xml:space="preserve"> kararı ile teze erişim 6 (altı) ay süreyle engellenmiştir.</w:t>
      </w:r>
    </w:p>
    <w:p w:rsidR="00BB069E" w:rsidRPr="00167EA4" w:rsidRDefault="00BB069E" w:rsidP="00BB069E">
      <w:pPr>
        <w:ind w:firstLine="567"/>
        <w:rPr>
          <w:color w:val="595959"/>
          <w:sz w:val="22"/>
          <w:szCs w:val="22"/>
        </w:rPr>
      </w:pPr>
    </w:p>
    <w:p w:rsidR="00BB069E" w:rsidRPr="00167EA4" w:rsidRDefault="00BB069E" w:rsidP="00BB069E">
      <w:pPr>
        <w:jc w:val="both"/>
        <w:rPr>
          <w:b/>
          <w:color w:val="595959"/>
          <w:sz w:val="22"/>
          <w:szCs w:val="22"/>
        </w:rPr>
      </w:pPr>
      <w:r w:rsidRPr="00167EA4">
        <w:rPr>
          <w:rFonts w:ascii="Segoe UI Symbol" w:eastAsia="MS Gothic" w:hAnsi="Segoe UI Symbol" w:cs="Segoe UI Symbol"/>
          <w:color w:val="595959"/>
          <w:sz w:val="22"/>
          <w:szCs w:val="22"/>
          <w:lang w:eastAsia="en-US"/>
        </w:rPr>
        <w:t>☐</w:t>
      </w:r>
      <w:r w:rsidRPr="00167EA4">
        <w:rPr>
          <w:color w:val="595959"/>
          <w:sz w:val="22"/>
          <w:szCs w:val="22"/>
        </w:rPr>
        <w:t xml:space="preserve"> </w:t>
      </w:r>
      <w:r w:rsidRPr="00167EA4">
        <w:rPr>
          <w:b/>
          <w:color w:val="595959"/>
          <w:sz w:val="22"/>
          <w:szCs w:val="22"/>
        </w:rPr>
        <w:t>Ulusal Çıkar ve Güvenlik Durumu (Gizlilik Dereceli Çalışmalar)</w:t>
      </w:r>
    </w:p>
    <w:p w:rsidR="00BB069E" w:rsidRPr="00167EA4" w:rsidRDefault="00BB069E" w:rsidP="00BB069E">
      <w:pPr>
        <w:jc w:val="both"/>
        <w:rPr>
          <w:bCs/>
          <w:color w:val="595959"/>
          <w:spacing w:val="-4"/>
          <w:sz w:val="22"/>
          <w:szCs w:val="22"/>
        </w:rPr>
      </w:pPr>
      <w:r w:rsidRPr="00167EA4">
        <w:rPr>
          <w:bCs/>
          <w:color w:val="595959"/>
          <w:spacing w:val="-4"/>
          <w:sz w:val="22"/>
          <w:szCs w:val="22"/>
        </w:rPr>
        <w:t xml:space="preserve">Yükseköğretim Kurulu Başkanlığı tarafından yayınlanan </w:t>
      </w:r>
      <w:r w:rsidRPr="00167EA4">
        <w:rPr>
          <w:bCs/>
          <w:i/>
          <w:iCs/>
          <w:color w:val="595959"/>
          <w:spacing w:val="-4"/>
          <w:sz w:val="22"/>
          <w:szCs w:val="22"/>
        </w:rPr>
        <w:t xml:space="preserve">Lisansüstü Tezlerin Elektronik Ortamda Toplanması, Düzenlenmesi ve Erişime Açılmasına İlişkin </w:t>
      </w:r>
      <w:proofErr w:type="spellStart"/>
      <w:r w:rsidRPr="00167EA4">
        <w:rPr>
          <w:bCs/>
          <w:i/>
          <w:iCs/>
          <w:color w:val="595959"/>
          <w:spacing w:val="-4"/>
          <w:sz w:val="22"/>
          <w:szCs w:val="22"/>
        </w:rPr>
        <w:t>Yönerge</w:t>
      </w:r>
      <w:r w:rsidRPr="00167EA4">
        <w:rPr>
          <w:bCs/>
          <w:color w:val="595959"/>
          <w:spacing w:val="-4"/>
          <w:sz w:val="22"/>
          <w:szCs w:val="22"/>
        </w:rPr>
        <w:t>’nin</w:t>
      </w:r>
      <w:proofErr w:type="spellEnd"/>
      <w:r w:rsidRPr="00167EA4">
        <w:rPr>
          <w:bCs/>
          <w:color w:val="595959"/>
          <w:spacing w:val="-4"/>
          <w:sz w:val="22"/>
          <w:szCs w:val="22"/>
        </w:rPr>
        <w:t xml:space="preserve"> gizlilik dereceli tezler bahsini düzenleyen 7. maddesinin 1. fıkrasına göre bu teze erişim, ulusal çıkarları veya güvenliği ilgilendirdiği için Enstitümüzün uygun görüşü üzerine Üniversitemiz Yönetim Kurulunun </w:t>
      </w:r>
      <w:proofErr w:type="gramStart"/>
      <w:r w:rsidRPr="00167EA4">
        <w:rPr>
          <w:bCs/>
          <w:color w:val="595959"/>
          <w:spacing w:val="-4"/>
          <w:sz w:val="22"/>
          <w:szCs w:val="22"/>
        </w:rPr>
        <w:t>….</w:t>
      </w:r>
      <w:proofErr w:type="gramEnd"/>
      <w:r w:rsidRPr="00167EA4">
        <w:rPr>
          <w:bCs/>
          <w:color w:val="595959"/>
          <w:spacing w:val="-4"/>
          <w:sz w:val="22"/>
          <w:szCs w:val="22"/>
        </w:rPr>
        <w:t xml:space="preserve">/…/…. tarih ve </w:t>
      </w:r>
      <w:proofErr w:type="gramStart"/>
      <w:r w:rsidRPr="00167EA4">
        <w:rPr>
          <w:bCs/>
          <w:color w:val="595959"/>
          <w:spacing w:val="-4"/>
          <w:sz w:val="22"/>
          <w:szCs w:val="22"/>
        </w:rPr>
        <w:t>………</w:t>
      </w:r>
      <w:proofErr w:type="gramEnd"/>
      <w:r w:rsidRPr="00167EA4">
        <w:rPr>
          <w:bCs/>
          <w:color w:val="595959"/>
          <w:spacing w:val="-4"/>
          <w:sz w:val="22"/>
          <w:szCs w:val="22"/>
        </w:rPr>
        <w:t xml:space="preserve"> </w:t>
      </w:r>
      <w:proofErr w:type="gramStart"/>
      <w:r w:rsidRPr="00167EA4">
        <w:rPr>
          <w:bCs/>
          <w:color w:val="595959"/>
          <w:spacing w:val="-4"/>
          <w:sz w:val="22"/>
          <w:szCs w:val="22"/>
        </w:rPr>
        <w:t>sayılı</w:t>
      </w:r>
      <w:proofErr w:type="gramEnd"/>
      <w:r w:rsidRPr="00167EA4">
        <w:rPr>
          <w:bCs/>
          <w:color w:val="595959"/>
          <w:spacing w:val="-4"/>
          <w:sz w:val="22"/>
          <w:szCs w:val="22"/>
        </w:rPr>
        <w:t xml:space="preserve"> kararı ile Üniversitemiz Yönetim Kurulu aksi karar verinceye kadar engellenmiştir.</w:t>
      </w:r>
    </w:p>
    <w:p w:rsidR="00BB069E" w:rsidRPr="00167EA4" w:rsidRDefault="00BB069E" w:rsidP="00BB069E">
      <w:pPr>
        <w:shd w:val="clear" w:color="auto" w:fill="FFFFFF"/>
        <w:autoSpaceDE w:val="0"/>
        <w:autoSpaceDN w:val="0"/>
        <w:adjustRightInd w:val="0"/>
        <w:spacing w:line="276" w:lineRule="auto"/>
        <w:ind w:firstLine="360"/>
        <w:jc w:val="right"/>
        <w:rPr>
          <w:sz w:val="22"/>
          <w:szCs w:val="22"/>
        </w:rPr>
      </w:pPr>
    </w:p>
    <w:p w:rsidR="00BB069E" w:rsidRPr="00167EA4" w:rsidRDefault="00BB069E" w:rsidP="00BB069E">
      <w:pPr>
        <w:shd w:val="clear" w:color="auto" w:fill="FFFFFF"/>
        <w:autoSpaceDE w:val="0"/>
        <w:autoSpaceDN w:val="0"/>
        <w:adjustRightInd w:val="0"/>
        <w:spacing w:line="276" w:lineRule="auto"/>
        <w:ind w:firstLine="360"/>
        <w:jc w:val="right"/>
        <w:rPr>
          <w:sz w:val="22"/>
          <w:szCs w:val="22"/>
        </w:rPr>
      </w:pPr>
    </w:p>
    <w:p w:rsidR="00BB069E" w:rsidRPr="00167EA4" w:rsidRDefault="00BB069E" w:rsidP="00BB069E">
      <w:pPr>
        <w:shd w:val="clear" w:color="auto" w:fill="FFFFFF"/>
        <w:autoSpaceDE w:val="0"/>
        <w:autoSpaceDN w:val="0"/>
        <w:adjustRightInd w:val="0"/>
        <w:spacing w:line="276" w:lineRule="auto"/>
        <w:ind w:firstLine="360"/>
        <w:jc w:val="right"/>
        <w:rPr>
          <w:sz w:val="22"/>
          <w:szCs w:val="22"/>
        </w:rPr>
      </w:pPr>
      <w:r w:rsidRPr="00167EA4">
        <w:rPr>
          <w:sz w:val="22"/>
          <w:szCs w:val="22"/>
        </w:rPr>
        <w:t xml:space="preserve">[Tarih- İmza] </w:t>
      </w:r>
    </w:p>
    <w:p w:rsidR="00BB069E" w:rsidRDefault="00BB069E" w:rsidP="00BB069E">
      <w:pPr>
        <w:shd w:val="clear" w:color="auto" w:fill="FFFFFF"/>
        <w:autoSpaceDE w:val="0"/>
        <w:autoSpaceDN w:val="0"/>
        <w:adjustRightInd w:val="0"/>
        <w:spacing w:line="276" w:lineRule="auto"/>
        <w:ind w:firstLine="360"/>
        <w:jc w:val="right"/>
        <w:rPr>
          <w:sz w:val="22"/>
          <w:szCs w:val="22"/>
        </w:rPr>
      </w:pPr>
      <w:r w:rsidRPr="00167EA4">
        <w:rPr>
          <w:sz w:val="22"/>
          <w:szCs w:val="22"/>
        </w:rPr>
        <w:t>[Öğrencinin Adı Soyadı]</w:t>
      </w:r>
    </w:p>
    <w:p w:rsidR="00BB069E" w:rsidRDefault="00BB069E" w:rsidP="00BB069E">
      <w:pPr>
        <w:shd w:val="clear" w:color="auto" w:fill="FFFFFF"/>
        <w:autoSpaceDE w:val="0"/>
        <w:autoSpaceDN w:val="0"/>
        <w:adjustRightInd w:val="0"/>
        <w:spacing w:line="276" w:lineRule="auto"/>
        <w:ind w:firstLine="360"/>
        <w:jc w:val="right"/>
        <w:rPr>
          <w:sz w:val="22"/>
          <w:szCs w:val="22"/>
        </w:rPr>
      </w:pPr>
    </w:p>
    <w:p w:rsidR="00BB069E" w:rsidRDefault="00BB069E" w:rsidP="00BB069E">
      <w:pPr>
        <w:shd w:val="clear" w:color="auto" w:fill="FFFFFF"/>
        <w:autoSpaceDE w:val="0"/>
        <w:autoSpaceDN w:val="0"/>
        <w:adjustRightInd w:val="0"/>
        <w:spacing w:line="276" w:lineRule="auto"/>
        <w:ind w:firstLine="360"/>
        <w:jc w:val="right"/>
        <w:rPr>
          <w:sz w:val="22"/>
          <w:szCs w:val="22"/>
        </w:rPr>
      </w:pPr>
    </w:p>
    <w:p w:rsidR="00BB069E" w:rsidRDefault="00BB069E" w:rsidP="00BB069E">
      <w:pPr>
        <w:shd w:val="clear" w:color="auto" w:fill="FFFFFF"/>
        <w:autoSpaceDE w:val="0"/>
        <w:autoSpaceDN w:val="0"/>
        <w:adjustRightInd w:val="0"/>
        <w:spacing w:line="276" w:lineRule="auto"/>
        <w:ind w:firstLine="360"/>
        <w:jc w:val="right"/>
        <w:rPr>
          <w:sz w:val="22"/>
          <w:szCs w:val="22"/>
        </w:rPr>
      </w:pPr>
      <w:bookmarkStart w:id="0" w:name="_GoBack"/>
      <w:bookmarkEnd w:id="0"/>
    </w:p>
    <w:p w:rsidR="00BB069E" w:rsidRDefault="00BB069E" w:rsidP="00BB069E">
      <w:pPr>
        <w:shd w:val="clear" w:color="auto" w:fill="FFFFFF"/>
        <w:autoSpaceDE w:val="0"/>
        <w:autoSpaceDN w:val="0"/>
        <w:adjustRightInd w:val="0"/>
        <w:spacing w:line="276" w:lineRule="auto"/>
        <w:ind w:firstLine="360"/>
        <w:jc w:val="right"/>
        <w:rPr>
          <w:sz w:val="22"/>
          <w:szCs w:val="22"/>
        </w:rPr>
      </w:pPr>
    </w:p>
    <w:p w:rsidR="00BB069E" w:rsidRPr="00167EA4" w:rsidRDefault="00BB069E" w:rsidP="00BB069E">
      <w:pPr>
        <w:shd w:val="clear" w:color="auto" w:fill="FFFFFF"/>
        <w:autoSpaceDE w:val="0"/>
        <w:autoSpaceDN w:val="0"/>
        <w:adjustRightInd w:val="0"/>
        <w:spacing w:line="276" w:lineRule="auto"/>
        <w:ind w:firstLine="360"/>
        <w:jc w:val="right"/>
        <w:rPr>
          <w:sz w:val="22"/>
          <w:szCs w:val="22"/>
        </w:rPr>
      </w:pPr>
    </w:p>
    <w:p w:rsidR="00BB069E" w:rsidRPr="00BB069E" w:rsidRDefault="00BB069E" w:rsidP="00BB069E">
      <w:pPr>
        <w:shd w:val="clear" w:color="auto" w:fill="FFFFFF"/>
        <w:autoSpaceDE w:val="0"/>
        <w:autoSpaceDN w:val="0"/>
        <w:adjustRightInd w:val="0"/>
        <w:spacing w:line="276" w:lineRule="auto"/>
        <w:jc w:val="both"/>
        <w:rPr>
          <w:i/>
          <w:sz w:val="18"/>
          <w:szCs w:val="18"/>
        </w:rPr>
      </w:pPr>
      <w:r w:rsidRPr="00BB069E">
        <w:rPr>
          <w:i/>
          <w:sz w:val="18"/>
          <w:szCs w:val="18"/>
        </w:rPr>
        <w:t>* İstisnai durumlar danışmanın yazılı başvurusu ve Enstitü / Üniversite Yönetim Kurulunun onayı ile kabul edilir.</w:t>
      </w:r>
    </w:p>
    <w:p w:rsidR="005E756E" w:rsidRPr="00BB069E" w:rsidRDefault="005E756E" w:rsidP="00BB069E"/>
    <w:sectPr w:rsidR="005E756E" w:rsidRPr="00BB069E" w:rsidSect="0056180D">
      <w:headerReference w:type="even" r:id="rId8"/>
      <w:footerReference w:type="default" r:id="rId9"/>
      <w:headerReference w:type="first" r:id="rId10"/>
      <w:footerReference w:type="first" r:id="rId11"/>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BCD" w:rsidRDefault="00E25BCD" w:rsidP="00B03F69">
      <w:r>
        <w:separator/>
      </w:r>
    </w:p>
  </w:endnote>
  <w:endnote w:type="continuationSeparator" w:id="0">
    <w:p w:rsidR="00E25BCD" w:rsidRDefault="00E25BCD" w:rsidP="00B0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772" w:rsidRPr="00341C74" w:rsidRDefault="00A44F70" w:rsidP="003A1772">
    <w:pPr>
      <w:pStyle w:val="AltBilgi"/>
      <w:jc w:val="right"/>
      <w:rPr>
        <w:sz w:val="16"/>
      </w:rPr>
    </w:pPr>
    <w:r w:rsidRPr="00341C74">
      <w:rPr>
        <w:sz w:val="16"/>
      </w:rPr>
      <w:t>EBEDR04_V2_6.8.2018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8B3" w:rsidRDefault="007162FA" w:rsidP="00A960B5">
    <w:pPr>
      <w:pStyle w:val="AltBilgi"/>
      <w:rPr>
        <w:sz w:val="6"/>
        <w:szCs w:val="6"/>
      </w:rPr>
    </w:pPr>
  </w:p>
  <w:p w:rsidR="00A960B5" w:rsidRDefault="00A960B5" w:rsidP="00A960B5">
    <w:pPr>
      <w:pStyle w:val="AltBilgi"/>
      <w:rPr>
        <w:sz w:val="6"/>
        <w:szCs w:val="6"/>
      </w:rPr>
    </w:pPr>
  </w:p>
  <w:tbl>
    <w:tblPr>
      <w:tblStyle w:val="TabloKlavuzu"/>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1"/>
      <w:gridCol w:w="1583"/>
    </w:tblGrid>
    <w:tr w:rsidR="00A960B5" w:rsidRPr="00596009" w:rsidTr="00E6056B">
      <w:tc>
        <w:tcPr>
          <w:tcW w:w="8364" w:type="dxa"/>
          <w:vAlign w:val="center"/>
        </w:tcPr>
        <w:p w:rsidR="00A960B5" w:rsidRPr="00596009" w:rsidRDefault="00A960B5" w:rsidP="00A960B5">
          <w:pPr>
            <w:pStyle w:val="AltBilgi"/>
            <w:rPr>
              <w:sz w:val="6"/>
              <w:szCs w:val="6"/>
            </w:rPr>
          </w:pPr>
          <w:r>
            <w:rPr>
              <w:sz w:val="6"/>
              <w:szCs w:val="6"/>
            </w:rPr>
            <w:t xml:space="preserve">     </w:t>
          </w:r>
          <w:r w:rsidRPr="00596009">
            <w:rPr>
              <w:noProof/>
              <w:sz w:val="6"/>
              <w:szCs w:val="6"/>
            </w:rPr>
            <w:drawing>
              <wp:inline distT="0" distB="0" distL="0" distR="0" wp14:anchorId="655D838B" wp14:editId="4F8C6926">
                <wp:extent cx="527368" cy="540000"/>
                <wp:effectExtent l="0" t="0" r="635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 sayfası.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368" cy="540000"/>
                        </a:xfrm>
                        <a:prstGeom prst="rect">
                          <a:avLst/>
                        </a:prstGeom>
                      </pic:spPr>
                    </pic:pic>
                  </a:graphicData>
                </a:graphic>
              </wp:inline>
            </w:drawing>
          </w:r>
        </w:p>
      </w:tc>
      <w:tc>
        <w:tcPr>
          <w:tcW w:w="1590" w:type="dxa"/>
          <w:vAlign w:val="center"/>
        </w:tcPr>
        <w:p w:rsidR="00A960B5" w:rsidRPr="00596009" w:rsidRDefault="007162FA" w:rsidP="00A960B5">
          <w:pPr>
            <w:jc w:val="right"/>
            <w:rPr>
              <w:sz w:val="18"/>
              <w:szCs w:val="16"/>
            </w:rPr>
          </w:pPr>
          <w:r>
            <w:rPr>
              <w:sz w:val="18"/>
              <w:szCs w:val="16"/>
            </w:rPr>
            <w:t>OF15</w:t>
          </w:r>
        </w:p>
        <w:p w:rsidR="00A960B5" w:rsidRPr="00596009" w:rsidRDefault="00A960B5" w:rsidP="00A960B5">
          <w:pPr>
            <w:jc w:val="right"/>
            <w:rPr>
              <w:noProof/>
              <w:sz w:val="16"/>
              <w:szCs w:val="16"/>
            </w:rPr>
          </w:pPr>
          <w:r w:rsidRPr="00596009">
            <w:rPr>
              <w:sz w:val="16"/>
              <w:szCs w:val="16"/>
            </w:rPr>
            <w:t>V1_01.01.2020</w:t>
          </w:r>
        </w:p>
        <w:p w:rsidR="00A960B5" w:rsidRPr="00596009" w:rsidRDefault="00A960B5" w:rsidP="00A960B5">
          <w:pPr>
            <w:pStyle w:val="AltBilgi"/>
            <w:rPr>
              <w:sz w:val="6"/>
              <w:szCs w:val="6"/>
            </w:rPr>
          </w:pPr>
        </w:p>
      </w:tc>
    </w:tr>
  </w:tbl>
  <w:p w:rsidR="00A960B5" w:rsidRPr="00A960B5" w:rsidRDefault="00A960B5" w:rsidP="00A960B5">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BCD" w:rsidRDefault="00E25BCD" w:rsidP="00B03F69">
      <w:r>
        <w:separator/>
      </w:r>
    </w:p>
  </w:footnote>
  <w:footnote w:type="continuationSeparator" w:id="0">
    <w:p w:rsidR="00E25BCD" w:rsidRDefault="00E25BCD" w:rsidP="00B03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20D" w:rsidRDefault="007162F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53.35pt;height:453.35pt;z-index:-251658752;mso-position-horizontal:center;mso-position-horizontal-relative:margin;mso-position-vertical:center;mso-position-vertical-relative:margin" o:allowincell="f">
          <v:imagedata r:id="rId1" o:title="egiti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20D" w:rsidRDefault="00536B34" w:rsidP="00F33283">
    <w:pPr>
      <w:pStyle w:val="stBilgi"/>
    </w:pPr>
    <w:r>
      <w:rPr>
        <w:noProof/>
      </w:rPr>
      <w:drawing>
        <wp:inline distT="0" distB="0" distL="0" distR="0">
          <wp:extent cx="4036639" cy="720000"/>
          <wp:effectExtent l="0" t="0" r="2540" b="444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6639"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90F78"/>
    <w:multiLevelType w:val="hybridMultilevel"/>
    <w:tmpl w:val="C85ADC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Footer/>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A1"/>
    <w:rsid w:val="000058A1"/>
    <w:rsid w:val="00071485"/>
    <w:rsid w:val="001E2419"/>
    <w:rsid w:val="0026230E"/>
    <w:rsid w:val="002918A9"/>
    <w:rsid w:val="0029680B"/>
    <w:rsid w:val="002A0E9C"/>
    <w:rsid w:val="002C2F0A"/>
    <w:rsid w:val="004C5E24"/>
    <w:rsid w:val="00514F63"/>
    <w:rsid w:val="00536B34"/>
    <w:rsid w:val="0056180D"/>
    <w:rsid w:val="00596155"/>
    <w:rsid w:val="005E756E"/>
    <w:rsid w:val="00700DDB"/>
    <w:rsid w:val="00705BE2"/>
    <w:rsid w:val="007162FA"/>
    <w:rsid w:val="00720103"/>
    <w:rsid w:val="009672D8"/>
    <w:rsid w:val="00996CA5"/>
    <w:rsid w:val="00A254AD"/>
    <w:rsid w:val="00A44F70"/>
    <w:rsid w:val="00A960B5"/>
    <w:rsid w:val="00A96E37"/>
    <w:rsid w:val="00AE20A0"/>
    <w:rsid w:val="00B03F69"/>
    <w:rsid w:val="00B87177"/>
    <w:rsid w:val="00BB069E"/>
    <w:rsid w:val="00D73CD2"/>
    <w:rsid w:val="00E25BCD"/>
    <w:rsid w:val="00EC4B08"/>
    <w:rsid w:val="00F33283"/>
    <w:rsid w:val="00F7122E"/>
    <w:rsid w:val="00F875F8"/>
    <w:rsid w:val="00F9331D"/>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59F0B3"/>
  <w15:docId w15:val="{31B815D3-E01C-4519-A24A-CA61B5C4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F6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B03F69"/>
    <w:pPr>
      <w:tabs>
        <w:tab w:val="center" w:pos="4536"/>
        <w:tab w:val="right" w:pos="9072"/>
      </w:tabs>
    </w:pPr>
  </w:style>
  <w:style w:type="character" w:customStyle="1" w:styleId="stBilgiChar">
    <w:name w:val="Üst Bilgi Char"/>
    <w:basedOn w:val="VarsaylanParagrafYazTipi"/>
    <w:link w:val="stBilgi"/>
    <w:uiPriority w:val="99"/>
    <w:rsid w:val="00B03F69"/>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B03F69"/>
    <w:pPr>
      <w:tabs>
        <w:tab w:val="center" w:pos="4536"/>
        <w:tab w:val="right" w:pos="9072"/>
      </w:tabs>
    </w:pPr>
  </w:style>
  <w:style w:type="character" w:customStyle="1" w:styleId="AltBilgiChar">
    <w:name w:val="Alt Bilgi Char"/>
    <w:basedOn w:val="VarsaylanParagrafYazTipi"/>
    <w:link w:val="AltBilgi"/>
    <w:uiPriority w:val="99"/>
    <w:rsid w:val="00B03F69"/>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B03F69"/>
    <w:rPr>
      <w:sz w:val="20"/>
      <w:szCs w:val="20"/>
    </w:rPr>
  </w:style>
  <w:style w:type="character" w:customStyle="1" w:styleId="DipnotMetniChar">
    <w:name w:val="Dipnot Metni Char"/>
    <w:basedOn w:val="VarsaylanParagrafYazTipi"/>
    <w:link w:val="DipnotMetni"/>
    <w:semiHidden/>
    <w:rsid w:val="00B03F69"/>
    <w:rPr>
      <w:rFonts w:ascii="Times New Roman" w:eastAsia="Times New Roman" w:hAnsi="Times New Roman" w:cs="Times New Roman"/>
      <w:sz w:val="20"/>
      <w:szCs w:val="20"/>
      <w:lang w:eastAsia="tr-TR"/>
    </w:rPr>
  </w:style>
  <w:style w:type="character" w:styleId="DipnotBavurusu">
    <w:name w:val="footnote reference"/>
    <w:semiHidden/>
    <w:rsid w:val="00B03F69"/>
    <w:rPr>
      <w:vertAlign w:val="superscript"/>
    </w:rPr>
  </w:style>
  <w:style w:type="paragraph" w:styleId="SonnotMetni">
    <w:name w:val="endnote text"/>
    <w:basedOn w:val="Normal"/>
    <w:link w:val="SonnotMetniChar"/>
    <w:rsid w:val="00B03F69"/>
    <w:rPr>
      <w:sz w:val="20"/>
      <w:szCs w:val="20"/>
    </w:rPr>
  </w:style>
  <w:style w:type="character" w:customStyle="1" w:styleId="SonnotMetniChar">
    <w:name w:val="Sonnot Metni Char"/>
    <w:basedOn w:val="VarsaylanParagrafYazTipi"/>
    <w:link w:val="SonnotMetni"/>
    <w:rsid w:val="00B03F69"/>
    <w:rPr>
      <w:rFonts w:ascii="Times New Roman" w:eastAsia="Times New Roman" w:hAnsi="Times New Roman" w:cs="Times New Roman"/>
      <w:sz w:val="20"/>
      <w:szCs w:val="20"/>
      <w:lang w:eastAsia="tr-TR"/>
    </w:rPr>
  </w:style>
  <w:style w:type="character" w:styleId="YerTutucuMetni">
    <w:name w:val="Placeholder Text"/>
    <w:basedOn w:val="VarsaylanParagrafYazTipi"/>
    <w:uiPriority w:val="99"/>
    <w:semiHidden/>
    <w:rsid w:val="00B03F69"/>
    <w:rPr>
      <w:color w:val="808080"/>
    </w:rPr>
  </w:style>
  <w:style w:type="character" w:customStyle="1" w:styleId="Stil1">
    <w:name w:val="Stil1"/>
    <w:basedOn w:val="VarsaylanParagrafYazTipi"/>
    <w:uiPriority w:val="1"/>
    <w:rsid w:val="00B03F69"/>
    <w:rPr>
      <w:rFonts w:ascii="Times New Roman" w:hAnsi="Times New Roman"/>
      <w:b/>
      <w:sz w:val="20"/>
    </w:rPr>
  </w:style>
  <w:style w:type="paragraph" w:styleId="BalonMetni">
    <w:name w:val="Balloon Text"/>
    <w:basedOn w:val="Normal"/>
    <w:link w:val="BalonMetniChar"/>
    <w:uiPriority w:val="99"/>
    <w:semiHidden/>
    <w:unhideWhenUsed/>
    <w:rsid w:val="00B03F69"/>
    <w:rPr>
      <w:rFonts w:ascii="Tahoma" w:hAnsi="Tahoma" w:cs="Tahoma"/>
      <w:sz w:val="16"/>
      <w:szCs w:val="16"/>
    </w:rPr>
  </w:style>
  <w:style w:type="character" w:customStyle="1" w:styleId="BalonMetniChar">
    <w:name w:val="Balon Metni Char"/>
    <w:basedOn w:val="VarsaylanParagrafYazTipi"/>
    <w:link w:val="BalonMetni"/>
    <w:uiPriority w:val="99"/>
    <w:semiHidden/>
    <w:rsid w:val="00B03F69"/>
    <w:rPr>
      <w:rFonts w:ascii="Tahoma" w:eastAsia="Times New Roman" w:hAnsi="Tahoma" w:cs="Tahoma"/>
      <w:sz w:val="16"/>
      <w:szCs w:val="16"/>
      <w:lang w:eastAsia="tr-TR"/>
    </w:rPr>
  </w:style>
  <w:style w:type="table" w:styleId="TabloKlavuzu">
    <w:name w:val="Table Grid"/>
    <w:basedOn w:val="NormalTablo"/>
    <w:uiPriority w:val="39"/>
    <w:rsid w:val="00A9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0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AC251-B14F-41F3-A711-DD2AAFCC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2474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SOZBILIR</dc:creator>
  <cp:lastModifiedBy>AOF</cp:lastModifiedBy>
  <cp:revision>4</cp:revision>
  <cp:lastPrinted>2020-01-28T10:27:00Z</cp:lastPrinted>
  <dcterms:created xsi:type="dcterms:W3CDTF">2020-01-31T10:10:00Z</dcterms:created>
  <dcterms:modified xsi:type="dcterms:W3CDTF">2020-02-01T22:09:00Z</dcterms:modified>
</cp:coreProperties>
</file>